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0D15C" w14:textId="77777777" w:rsidR="00930AFA" w:rsidRPr="00C212AE" w:rsidRDefault="00930AFA" w:rsidP="00E10983">
      <w:pPr>
        <w:pStyle w:val="Heading1"/>
        <w:jc w:val="center"/>
        <w:rPr>
          <w:rFonts w:asciiTheme="minorHAnsi" w:eastAsia="Times New Roman" w:hAnsiTheme="minorHAnsi"/>
          <w:color w:val="auto"/>
          <w:sz w:val="24"/>
          <w:szCs w:val="24"/>
          <w:u w:val="single"/>
        </w:rPr>
      </w:pPr>
      <w:bookmarkStart w:id="0" w:name="_GoBack"/>
      <w:bookmarkEnd w:id="0"/>
      <w:r w:rsidRPr="00C212AE">
        <w:rPr>
          <w:rFonts w:asciiTheme="minorHAnsi" w:eastAsia="Times New Roman" w:hAnsiTheme="minorHAnsi"/>
          <w:color w:val="auto"/>
          <w:sz w:val="24"/>
          <w:szCs w:val="24"/>
          <w:u w:val="single"/>
        </w:rPr>
        <w:t>Support for Small Businesses - Fact Sheet</w:t>
      </w:r>
    </w:p>
    <w:p w14:paraId="384CA145" w14:textId="77777777" w:rsidR="00930AFA" w:rsidRPr="00C212AE" w:rsidRDefault="00930AFA" w:rsidP="00930AFA">
      <w:pPr>
        <w:rPr>
          <w:rFonts w:asciiTheme="minorHAnsi" w:hAnsiTheme="minorHAnsi"/>
        </w:rPr>
      </w:pPr>
    </w:p>
    <w:p w14:paraId="6ED3AEA7" w14:textId="73DF15C7" w:rsidR="00930AFA" w:rsidRPr="00C212AE" w:rsidRDefault="00930AFA" w:rsidP="00930AFA">
      <w:pPr>
        <w:rPr>
          <w:rFonts w:asciiTheme="minorHAnsi" w:hAnsiTheme="minorHAnsi"/>
        </w:rPr>
      </w:pPr>
      <w:r w:rsidRPr="00C212AE">
        <w:rPr>
          <w:rFonts w:asciiTheme="minorHAnsi" w:hAnsiTheme="minorHAnsi"/>
        </w:rPr>
        <w:t>The ongoing Covid-19 pandemic is having a significant impact for everyone across the country. Many small businesses</w:t>
      </w:r>
      <w:r w:rsidR="00C212AE">
        <w:rPr>
          <w:rFonts w:asciiTheme="minorHAnsi" w:hAnsiTheme="minorHAnsi"/>
        </w:rPr>
        <w:t xml:space="preserve"> are struggling to stay afloat.</w:t>
      </w:r>
      <w:r w:rsidRPr="00C212AE">
        <w:rPr>
          <w:rFonts w:asciiTheme="minorHAnsi" w:hAnsiTheme="minorHAnsi"/>
        </w:rPr>
        <w:t xml:space="preserve"> The NDP has been advocating for measures to support small businesses.  </w:t>
      </w:r>
    </w:p>
    <w:p w14:paraId="49E02DA9" w14:textId="77777777" w:rsidR="00930AFA" w:rsidRPr="00C212AE" w:rsidRDefault="00930AFA" w:rsidP="00930AFA">
      <w:pPr>
        <w:rPr>
          <w:rFonts w:asciiTheme="minorHAnsi" w:hAnsiTheme="minorHAnsi"/>
          <w:color w:val="0070C0"/>
        </w:rPr>
      </w:pPr>
    </w:p>
    <w:p w14:paraId="384482F0" w14:textId="4A65E4F3" w:rsidR="00930AFA" w:rsidRPr="00C212AE" w:rsidRDefault="00930AFA" w:rsidP="00930AFA">
      <w:pPr>
        <w:rPr>
          <w:rFonts w:asciiTheme="minorHAnsi" w:hAnsiTheme="minorHAnsi"/>
        </w:rPr>
      </w:pPr>
      <w:r w:rsidRPr="00C212AE">
        <w:rPr>
          <w:rFonts w:asciiTheme="minorHAnsi" w:hAnsiTheme="minorHAnsi"/>
        </w:rPr>
        <w:t xml:space="preserve">As the federal government continues to announce new policies and updates the newest information can be found </w:t>
      </w:r>
      <w:hyperlink r:id="rId6" w:anchor="wage_subsidies" w:history="1">
        <w:r w:rsidRPr="00A2181B">
          <w:rPr>
            <w:rStyle w:val="Hyperlink"/>
            <w:rFonts w:asciiTheme="minorHAnsi" w:hAnsiTheme="minorHAnsi"/>
            <w:color w:val="3B3838" w:themeColor="background2" w:themeShade="40"/>
          </w:rPr>
          <w:t>here</w:t>
        </w:r>
      </w:hyperlink>
      <w:r w:rsidRPr="00A2181B">
        <w:rPr>
          <w:rFonts w:asciiTheme="minorHAnsi" w:hAnsiTheme="minorHAnsi"/>
          <w:color w:val="3B3838" w:themeColor="background2" w:themeShade="40"/>
        </w:rPr>
        <w:t>.</w:t>
      </w:r>
    </w:p>
    <w:p w14:paraId="37600329" w14:textId="77777777" w:rsidR="00930AFA" w:rsidRPr="00C212AE" w:rsidRDefault="00930AFA" w:rsidP="00930AFA">
      <w:pPr>
        <w:rPr>
          <w:rFonts w:asciiTheme="minorHAnsi" w:hAnsiTheme="minorHAnsi"/>
          <w:color w:val="0070C0"/>
        </w:rPr>
      </w:pPr>
    </w:p>
    <w:p w14:paraId="79660ACA" w14:textId="75F74588" w:rsidR="00930AFA" w:rsidRPr="00C212AE" w:rsidRDefault="0087215C" w:rsidP="00930AFA">
      <w:pPr>
        <w:rPr>
          <w:rFonts w:asciiTheme="minorHAnsi" w:hAnsiTheme="minorHAnsi" w:cs="Arial"/>
          <w:lang w:val="en"/>
        </w:rPr>
      </w:pPr>
      <w:r>
        <w:rPr>
          <w:rFonts w:asciiTheme="minorHAnsi" w:hAnsiTheme="minorHAnsi"/>
        </w:rPr>
        <w:t>As of April 16</w:t>
      </w:r>
      <w:r w:rsidR="00930AFA" w:rsidRPr="00C212AE">
        <w:rPr>
          <w:rFonts w:asciiTheme="minorHAnsi" w:hAnsiTheme="minorHAnsi"/>
        </w:rPr>
        <w:t>, 2020, these are the Federal programs in place:</w:t>
      </w:r>
    </w:p>
    <w:p w14:paraId="5AB8F1D9" w14:textId="77777777" w:rsidR="00930AFA" w:rsidRPr="0087215C" w:rsidRDefault="00930AFA" w:rsidP="00930AFA">
      <w:pPr>
        <w:rPr>
          <w:rFonts w:asciiTheme="minorHAnsi" w:hAnsiTheme="minorHAnsi"/>
          <w:lang w:val="en"/>
        </w:rPr>
      </w:pPr>
    </w:p>
    <w:p w14:paraId="04230573" w14:textId="77777777" w:rsidR="00930AFA" w:rsidRPr="00E10983" w:rsidRDefault="00930AFA" w:rsidP="00930AFA">
      <w:pPr>
        <w:rPr>
          <w:rFonts w:asciiTheme="minorHAnsi" w:hAnsiTheme="minorHAnsi"/>
          <w:b/>
          <w:color w:val="ED7D31" w:themeColor="accent2"/>
        </w:rPr>
      </w:pPr>
      <w:r w:rsidRPr="00E10983">
        <w:rPr>
          <w:rFonts w:asciiTheme="minorHAnsi" w:hAnsiTheme="minorHAnsi"/>
          <w:b/>
          <w:color w:val="ED7D31" w:themeColor="accent2"/>
        </w:rPr>
        <w:t>Temporary 10% Wage Subsidy:</w:t>
      </w:r>
    </w:p>
    <w:p w14:paraId="4E94CAAB" w14:textId="77777777" w:rsidR="00930AFA" w:rsidRPr="00C212AE" w:rsidRDefault="00930AFA" w:rsidP="00930AFA">
      <w:pPr>
        <w:numPr>
          <w:ilvl w:val="0"/>
          <w:numId w:val="4"/>
        </w:numPr>
        <w:spacing w:before="100" w:beforeAutospacing="1" w:after="100" w:afterAutospacing="1"/>
        <w:rPr>
          <w:rFonts w:asciiTheme="minorHAnsi" w:eastAsia="Times New Roman" w:hAnsiTheme="minorHAnsi"/>
        </w:rPr>
      </w:pPr>
      <w:r w:rsidRPr="00C212AE">
        <w:rPr>
          <w:rFonts w:asciiTheme="minorHAnsi" w:eastAsia="Times New Roman" w:hAnsiTheme="minorHAnsi"/>
        </w:rPr>
        <w:t xml:space="preserve">The </w:t>
      </w:r>
      <w:r w:rsidRPr="00C212AE">
        <w:rPr>
          <w:rFonts w:asciiTheme="minorHAnsi" w:hAnsiTheme="minorHAnsi"/>
        </w:rPr>
        <w:t>Temporary 10% Wage Subsidy is a three-month measure that will allow eligible employers to reduce the amount of payroll deduction required to be remitted to the Canada Revenue Agency (CRA). </w:t>
      </w:r>
    </w:p>
    <w:p w14:paraId="3D2FDD4F" w14:textId="0BA245BB" w:rsidR="00930AFA" w:rsidRPr="00C212AE" w:rsidRDefault="00930AFA" w:rsidP="00930AFA">
      <w:pPr>
        <w:spacing w:after="173"/>
        <w:rPr>
          <w:rFonts w:asciiTheme="minorHAnsi" w:hAnsiTheme="minorHAnsi"/>
        </w:rPr>
      </w:pPr>
      <w:r w:rsidRPr="00C212AE">
        <w:rPr>
          <w:rFonts w:asciiTheme="minorHAnsi" w:hAnsiTheme="minorHAnsi"/>
        </w:rPr>
        <w:t xml:space="preserve">Eligible employers include: </w:t>
      </w:r>
    </w:p>
    <w:p w14:paraId="614A510D" w14:textId="77777777" w:rsidR="00930AFA" w:rsidRPr="00C212AE" w:rsidRDefault="00930AFA" w:rsidP="00930AFA">
      <w:pPr>
        <w:numPr>
          <w:ilvl w:val="1"/>
          <w:numId w:val="4"/>
        </w:numPr>
        <w:spacing w:before="100" w:beforeAutospacing="1" w:after="100" w:afterAutospacing="1"/>
        <w:rPr>
          <w:rFonts w:asciiTheme="minorHAnsi" w:eastAsia="Times New Roman" w:hAnsiTheme="minorHAnsi"/>
        </w:rPr>
      </w:pPr>
      <w:r w:rsidRPr="00C212AE">
        <w:rPr>
          <w:rFonts w:asciiTheme="minorHAnsi" w:eastAsia="Times New Roman" w:hAnsiTheme="minorHAnsi"/>
        </w:rPr>
        <w:t>individual (excluding trusts),</w:t>
      </w:r>
    </w:p>
    <w:p w14:paraId="7B145B20" w14:textId="77777777" w:rsidR="00930AFA" w:rsidRPr="00C212AE" w:rsidRDefault="00930AFA" w:rsidP="00930AFA">
      <w:pPr>
        <w:numPr>
          <w:ilvl w:val="1"/>
          <w:numId w:val="4"/>
        </w:numPr>
        <w:spacing w:before="100" w:beforeAutospacing="1" w:after="100" w:afterAutospacing="1"/>
        <w:rPr>
          <w:rFonts w:asciiTheme="minorHAnsi" w:eastAsia="Times New Roman" w:hAnsiTheme="minorHAnsi"/>
        </w:rPr>
      </w:pPr>
      <w:r w:rsidRPr="00C212AE">
        <w:rPr>
          <w:rFonts w:asciiTheme="minorHAnsi" w:eastAsia="Times New Roman" w:hAnsiTheme="minorHAnsi"/>
        </w:rPr>
        <w:t>partnership. </w:t>
      </w:r>
    </w:p>
    <w:p w14:paraId="56F8E10C" w14:textId="77777777" w:rsidR="00930AFA" w:rsidRPr="00C212AE" w:rsidRDefault="00930AFA" w:rsidP="00930AFA">
      <w:pPr>
        <w:numPr>
          <w:ilvl w:val="1"/>
          <w:numId w:val="4"/>
        </w:numPr>
        <w:spacing w:before="100" w:beforeAutospacing="1" w:after="100" w:afterAutospacing="1"/>
        <w:rPr>
          <w:rFonts w:asciiTheme="minorHAnsi" w:eastAsia="Times New Roman" w:hAnsiTheme="minorHAnsi"/>
        </w:rPr>
      </w:pPr>
      <w:r w:rsidRPr="00C212AE">
        <w:rPr>
          <w:rFonts w:asciiTheme="minorHAnsi" w:eastAsia="Times New Roman" w:hAnsiTheme="minorHAnsi"/>
        </w:rPr>
        <w:t>non-profit organization,</w:t>
      </w:r>
    </w:p>
    <w:p w14:paraId="24DE5E1B" w14:textId="77777777" w:rsidR="00930AFA" w:rsidRPr="00C212AE" w:rsidRDefault="00930AFA" w:rsidP="00930AFA">
      <w:pPr>
        <w:numPr>
          <w:ilvl w:val="1"/>
          <w:numId w:val="4"/>
        </w:numPr>
        <w:spacing w:before="100" w:beforeAutospacing="1" w:after="100" w:afterAutospacing="1"/>
        <w:rPr>
          <w:rFonts w:asciiTheme="minorHAnsi" w:eastAsia="Times New Roman" w:hAnsiTheme="minorHAnsi"/>
        </w:rPr>
      </w:pPr>
      <w:r w:rsidRPr="00C212AE">
        <w:rPr>
          <w:rFonts w:asciiTheme="minorHAnsi" w:eastAsia="Times New Roman" w:hAnsiTheme="minorHAnsi"/>
        </w:rPr>
        <w:t>registered charity, or</w:t>
      </w:r>
    </w:p>
    <w:p w14:paraId="01CCF5FF" w14:textId="77777777" w:rsidR="00930AFA" w:rsidRPr="00C212AE" w:rsidRDefault="00930AFA" w:rsidP="00930AFA">
      <w:pPr>
        <w:numPr>
          <w:ilvl w:val="1"/>
          <w:numId w:val="4"/>
        </w:numPr>
        <w:spacing w:before="100" w:beforeAutospacing="1" w:after="100" w:afterAutospacing="1"/>
        <w:rPr>
          <w:rFonts w:asciiTheme="minorHAnsi" w:eastAsia="Times New Roman" w:hAnsiTheme="minorHAnsi"/>
        </w:rPr>
      </w:pPr>
      <w:r w:rsidRPr="00C212AE">
        <w:rPr>
          <w:rFonts w:asciiTheme="minorHAnsi" w:eastAsia="Times New Roman" w:hAnsiTheme="minorHAnsi"/>
        </w:rPr>
        <w:t>Canadian-controlled private corporation (including a cooperative corporation) eligible for the small business deduction;</w:t>
      </w:r>
    </w:p>
    <w:p w14:paraId="2F05F65A" w14:textId="77777777" w:rsidR="00930AFA" w:rsidRPr="00C212AE" w:rsidRDefault="00930AFA" w:rsidP="00930AFA">
      <w:pPr>
        <w:numPr>
          <w:ilvl w:val="0"/>
          <w:numId w:val="4"/>
        </w:numPr>
        <w:spacing w:before="100" w:beforeAutospacing="1" w:after="100" w:afterAutospacing="1"/>
        <w:rPr>
          <w:rFonts w:asciiTheme="minorHAnsi" w:eastAsia="Times New Roman" w:hAnsiTheme="minorHAnsi"/>
        </w:rPr>
      </w:pPr>
      <w:r w:rsidRPr="00C212AE">
        <w:rPr>
          <w:rFonts w:asciiTheme="minorHAnsi" w:eastAsia="Times New Roman" w:hAnsiTheme="minorHAnsi"/>
        </w:rPr>
        <w:t>have an existing business number and payroll program account with the CRA on March 18, 2020; and</w:t>
      </w:r>
    </w:p>
    <w:p w14:paraId="12C8B5D0" w14:textId="77777777" w:rsidR="00930AFA" w:rsidRPr="00C212AE" w:rsidRDefault="00930AFA" w:rsidP="00930AFA">
      <w:pPr>
        <w:numPr>
          <w:ilvl w:val="0"/>
          <w:numId w:val="4"/>
        </w:numPr>
        <w:spacing w:before="100" w:beforeAutospacing="1" w:after="100" w:afterAutospacing="1"/>
        <w:rPr>
          <w:rFonts w:asciiTheme="minorHAnsi" w:eastAsia="Times New Roman" w:hAnsiTheme="minorHAnsi"/>
        </w:rPr>
      </w:pPr>
      <w:r w:rsidRPr="00C212AE">
        <w:rPr>
          <w:rFonts w:asciiTheme="minorHAnsi" w:eastAsia="Times New Roman" w:hAnsiTheme="minorHAnsi"/>
        </w:rPr>
        <w:t>pay salary, wages, bonuses, or other remuneration to an eligible employee.</w:t>
      </w:r>
    </w:p>
    <w:p w14:paraId="38F3B23F" w14:textId="77777777" w:rsidR="00930AFA" w:rsidRPr="00C212AE" w:rsidRDefault="00930AFA" w:rsidP="00930AFA">
      <w:pPr>
        <w:rPr>
          <w:rFonts w:asciiTheme="minorHAnsi" w:eastAsia="Times New Roman" w:hAnsiTheme="minorHAnsi"/>
        </w:rPr>
      </w:pPr>
      <w:r w:rsidRPr="00C212AE">
        <w:rPr>
          <w:rFonts w:asciiTheme="minorHAnsi" w:eastAsia="Times New Roman" w:hAnsiTheme="minorHAnsi"/>
          <w:shd w:val="clear" w:color="auto" w:fill="FFFFFF"/>
        </w:rPr>
        <w:t>Note:  Partnerships are only eligible for the subsidy if their members consist exclusively of individuals (excluding trusts), registered charities, other partnerships eligible for the subsidy, or eligible Canadian-controlled private corporations (CCPCs).</w:t>
      </w:r>
    </w:p>
    <w:p w14:paraId="7809F1E0" w14:textId="77777777" w:rsidR="00930AFA" w:rsidRPr="00C212AE" w:rsidRDefault="00930AFA" w:rsidP="00930AFA">
      <w:pPr>
        <w:rPr>
          <w:rFonts w:asciiTheme="minorHAnsi" w:hAnsiTheme="minorHAnsi"/>
          <w:color w:val="0070C0"/>
        </w:rPr>
      </w:pPr>
    </w:p>
    <w:p w14:paraId="30911A28" w14:textId="77777777" w:rsidR="00930AFA" w:rsidRPr="00A2181B" w:rsidRDefault="00930AFA" w:rsidP="00930AFA">
      <w:pPr>
        <w:rPr>
          <w:rFonts w:asciiTheme="minorHAnsi" w:hAnsiTheme="minorHAnsi"/>
        </w:rPr>
      </w:pPr>
      <w:r w:rsidRPr="00C212AE">
        <w:rPr>
          <w:rFonts w:asciiTheme="minorHAnsi" w:hAnsiTheme="minorHAnsi"/>
        </w:rPr>
        <w:t xml:space="preserve">To learn more about the program go to:  </w:t>
      </w:r>
      <w:hyperlink r:id="rId7" w:anchor="h1" w:history="1">
        <w:r w:rsidRPr="00A2181B">
          <w:rPr>
            <w:rStyle w:val="Hyperlink"/>
            <w:rFonts w:asciiTheme="minorHAnsi" w:hAnsiTheme="minorHAnsi"/>
            <w:color w:val="auto"/>
          </w:rPr>
          <w:t>https://www.canada.ca/en/revenue-agency/campaigns/covid-19-update/frequently-asked-questions-wage-subsidy-small-businesses.html#h1</w:t>
        </w:r>
      </w:hyperlink>
      <w:r w:rsidRPr="00A2181B">
        <w:rPr>
          <w:rFonts w:asciiTheme="minorHAnsi" w:hAnsiTheme="minorHAnsi"/>
        </w:rPr>
        <w:t xml:space="preserve"> </w:t>
      </w:r>
    </w:p>
    <w:p w14:paraId="49A54D11" w14:textId="77777777" w:rsidR="00930AFA" w:rsidRPr="00E10983" w:rsidRDefault="00930AFA" w:rsidP="00930AFA">
      <w:pPr>
        <w:rPr>
          <w:rFonts w:asciiTheme="minorHAnsi" w:hAnsiTheme="minorHAnsi"/>
          <w:b/>
          <w:color w:val="ED7D31" w:themeColor="accent2"/>
        </w:rPr>
      </w:pPr>
    </w:p>
    <w:p w14:paraId="658A6B87" w14:textId="77777777" w:rsidR="00930AFA" w:rsidRPr="00E10983" w:rsidRDefault="00930AFA" w:rsidP="00930AFA">
      <w:pPr>
        <w:rPr>
          <w:rFonts w:asciiTheme="minorHAnsi" w:hAnsiTheme="minorHAnsi"/>
          <w:b/>
          <w:color w:val="ED7D31" w:themeColor="accent2"/>
        </w:rPr>
      </w:pPr>
      <w:r w:rsidRPr="00E10983">
        <w:rPr>
          <w:rFonts w:asciiTheme="minorHAnsi" w:hAnsiTheme="minorHAnsi"/>
          <w:b/>
          <w:color w:val="ED7D31" w:themeColor="accent2"/>
        </w:rPr>
        <w:t>Canadian Emergency Wage Subsidy (CEWS)</w:t>
      </w:r>
    </w:p>
    <w:p w14:paraId="0A4BF888" w14:textId="77777777" w:rsidR="00930AFA" w:rsidRPr="00C212AE" w:rsidRDefault="00930AFA" w:rsidP="00930AFA">
      <w:pPr>
        <w:numPr>
          <w:ilvl w:val="0"/>
          <w:numId w:val="6"/>
        </w:numPr>
        <w:spacing w:before="100" w:beforeAutospacing="1" w:after="100" w:afterAutospacing="1"/>
        <w:rPr>
          <w:rFonts w:asciiTheme="minorHAnsi" w:eastAsia="Times New Roman" w:hAnsiTheme="minorHAnsi"/>
        </w:rPr>
      </w:pPr>
      <w:r w:rsidRPr="00C212AE">
        <w:rPr>
          <w:rFonts w:asciiTheme="minorHAnsi" w:hAnsiTheme="minorHAnsi" w:cs="Arial"/>
          <w:lang w:val="en"/>
        </w:rPr>
        <w:t>The subsidy covers 75% of an employee’s wages for up to 12 weeks, retroactive to March 15, 2020.</w:t>
      </w:r>
    </w:p>
    <w:p w14:paraId="1F8A2EC2" w14:textId="77777777" w:rsidR="00930AFA" w:rsidRPr="00C212AE" w:rsidRDefault="00930AFA" w:rsidP="00930AFA">
      <w:pPr>
        <w:numPr>
          <w:ilvl w:val="0"/>
          <w:numId w:val="6"/>
        </w:numPr>
        <w:spacing w:before="100" w:beforeAutospacing="1" w:after="100" w:afterAutospacing="1"/>
        <w:rPr>
          <w:rFonts w:asciiTheme="minorHAnsi" w:eastAsia="Times New Roman" w:hAnsiTheme="minorHAnsi"/>
          <w:color w:val="333333"/>
        </w:rPr>
      </w:pPr>
      <w:r w:rsidRPr="00C212AE">
        <w:rPr>
          <w:rFonts w:asciiTheme="minorHAnsi" w:eastAsia="Times New Roman" w:hAnsiTheme="minorHAnsi" w:cs="Arial"/>
          <w:lang w:val="en"/>
        </w:rPr>
        <w:t>The subsidy is taxable income for employers as it is considered government assistance</w:t>
      </w:r>
      <w:r w:rsidRPr="00C212AE">
        <w:rPr>
          <w:rFonts w:asciiTheme="minorHAnsi" w:eastAsia="Times New Roman" w:hAnsiTheme="minorHAnsi" w:cs="Arial"/>
          <w:color w:val="C00000"/>
          <w:lang w:val="en"/>
        </w:rPr>
        <w:t>.</w:t>
      </w:r>
    </w:p>
    <w:p w14:paraId="1330888B" w14:textId="3197FDC9" w:rsidR="00930AFA" w:rsidRPr="00C212AE" w:rsidRDefault="00930AFA" w:rsidP="00930AFA">
      <w:pPr>
        <w:numPr>
          <w:ilvl w:val="0"/>
          <w:numId w:val="6"/>
        </w:numPr>
        <w:spacing w:before="100" w:beforeAutospacing="1" w:after="100" w:afterAutospacing="1"/>
        <w:rPr>
          <w:rFonts w:asciiTheme="minorHAnsi" w:eastAsia="Times New Roman" w:hAnsiTheme="minorHAnsi"/>
        </w:rPr>
      </w:pPr>
      <w:r w:rsidRPr="00C212AE">
        <w:rPr>
          <w:rFonts w:asciiTheme="minorHAnsi" w:eastAsia="Times New Roman" w:hAnsiTheme="minorHAnsi" w:cs="Arial"/>
          <w:lang w:val="en"/>
        </w:rPr>
        <w:lastRenderedPageBreak/>
        <w:t>This does not replace the Temporary 10% Wage Subsidy program.</w:t>
      </w:r>
    </w:p>
    <w:p w14:paraId="47F2FB96" w14:textId="77777777" w:rsidR="00930AFA" w:rsidRPr="00C212AE" w:rsidRDefault="00930AFA" w:rsidP="00930AFA">
      <w:pPr>
        <w:numPr>
          <w:ilvl w:val="0"/>
          <w:numId w:val="6"/>
        </w:numPr>
        <w:spacing w:before="100" w:beforeAutospacing="1" w:after="100" w:afterAutospacing="1"/>
        <w:rPr>
          <w:rFonts w:asciiTheme="minorHAnsi" w:eastAsia="Times New Roman" w:hAnsiTheme="minorHAnsi"/>
        </w:rPr>
      </w:pPr>
      <w:r w:rsidRPr="00C212AE">
        <w:rPr>
          <w:rFonts w:asciiTheme="minorHAnsi" w:eastAsia="Times New Roman" w:hAnsiTheme="minorHAnsi" w:cs="Arial"/>
          <w:lang w:val="en"/>
        </w:rPr>
        <w:t>A</w:t>
      </w:r>
      <w:r w:rsidRPr="00C212AE">
        <w:rPr>
          <w:rFonts w:asciiTheme="minorHAnsi" w:eastAsia="Calibri" w:hAnsiTheme="minorHAnsi" w:cs="Calibri"/>
        </w:rPr>
        <w:t>ny benefit the employers received from the 10% Wage Subsidy program can be deducted from their benefits paid through the 75% CEWS program if they apply.</w:t>
      </w:r>
    </w:p>
    <w:p w14:paraId="4FAA8115" w14:textId="77777777" w:rsidR="00930AFA" w:rsidRPr="00C212AE" w:rsidRDefault="00930AFA" w:rsidP="00930AFA">
      <w:pPr>
        <w:pStyle w:val="ListParagraph"/>
        <w:numPr>
          <w:ilvl w:val="0"/>
          <w:numId w:val="6"/>
        </w:numPr>
        <w:rPr>
          <w:rFonts w:asciiTheme="minorHAnsi" w:eastAsia="Times New Roman" w:hAnsiTheme="minorHAnsi"/>
          <w:shd w:val="clear" w:color="auto" w:fill="FFFFFF"/>
        </w:rPr>
      </w:pPr>
      <w:r w:rsidRPr="00C212AE">
        <w:rPr>
          <w:rFonts w:asciiTheme="minorHAnsi" w:eastAsia="Times New Roman" w:hAnsiTheme="minorHAnsi"/>
          <w:shd w:val="clear" w:color="auto" w:fill="FFFFFF"/>
        </w:rPr>
        <w:t>To ensure that the Canada Emergency Response Benefit (CERB) applies as intended, the government is considering implementing an approach to limit duplication. This could include a process to allow individuals rehired by their employer during the same eligibility period to cancel their CERB claim and repay that amount.</w:t>
      </w:r>
    </w:p>
    <w:p w14:paraId="5B26E96E" w14:textId="77777777" w:rsidR="00930AFA" w:rsidRPr="00C212AE" w:rsidRDefault="00930AFA" w:rsidP="00930AFA">
      <w:pPr>
        <w:pStyle w:val="ListParagraph"/>
        <w:rPr>
          <w:rFonts w:asciiTheme="minorHAnsi" w:eastAsia="Times New Roman" w:hAnsiTheme="minorHAnsi"/>
          <w:color w:val="0070C0"/>
          <w:shd w:val="clear" w:color="auto" w:fill="FFFFFF"/>
        </w:rPr>
      </w:pPr>
    </w:p>
    <w:p w14:paraId="7ED602E4" w14:textId="77777777" w:rsidR="00930AFA" w:rsidRDefault="00930AFA" w:rsidP="00930AFA">
      <w:pPr>
        <w:rPr>
          <w:rFonts w:asciiTheme="minorHAnsi" w:hAnsiTheme="minorHAnsi" w:cs="Arial"/>
          <w:b/>
          <w:lang w:val="en"/>
        </w:rPr>
      </w:pPr>
      <w:r w:rsidRPr="00C212AE">
        <w:rPr>
          <w:rFonts w:asciiTheme="minorHAnsi" w:hAnsiTheme="minorHAnsi" w:cs="Arial"/>
          <w:b/>
          <w:lang w:val="en"/>
        </w:rPr>
        <w:t>Eligible Employers</w:t>
      </w:r>
    </w:p>
    <w:p w14:paraId="2F722D2C" w14:textId="77777777" w:rsidR="0087215C" w:rsidRPr="00C212AE" w:rsidRDefault="0087215C" w:rsidP="00930AFA">
      <w:pPr>
        <w:rPr>
          <w:rFonts w:asciiTheme="minorHAnsi" w:hAnsiTheme="minorHAnsi" w:cs="Arial"/>
          <w:b/>
          <w:lang w:val="en"/>
        </w:rPr>
      </w:pPr>
    </w:p>
    <w:p w14:paraId="7339CE2D" w14:textId="77777777" w:rsidR="00930AFA" w:rsidRPr="00C212AE" w:rsidRDefault="00930AFA" w:rsidP="0087215C">
      <w:pPr>
        <w:numPr>
          <w:ilvl w:val="0"/>
          <w:numId w:val="5"/>
        </w:numPr>
        <w:spacing w:after="100" w:afterAutospacing="1"/>
        <w:rPr>
          <w:rFonts w:asciiTheme="minorHAnsi" w:eastAsia="Times New Roman" w:hAnsiTheme="minorHAnsi"/>
        </w:rPr>
      </w:pPr>
      <w:r w:rsidRPr="00C212AE">
        <w:rPr>
          <w:rFonts w:asciiTheme="minorHAnsi" w:eastAsia="Times New Roman" w:hAnsiTheme="minorHAnsi"/>
        </w:rPr>
        <w:t>individuals</w:t>
      </w:r>
    </w:p>
    <w:p w14:paraId="0BA77D2D" w14:textId="77777777" w:rsidR="00930AFA" w:rsidRPr="00C212AE" w:rsidRDefault="00930AFA" w:rsidP="00930AFA">
      <w:pPr>
        <w:numPr>
          <w:ilvl w:val="0"/>
          <w:numId w:val="5"/>
        </w:numPr>
        <w:spacing w:before="100" w:beforeAutospacing="1" w:after="100" w:afterAutospacing="1"/>
        <w:rPr>
          <w:rFonts w:asciiTheme="minorHAnsi" w:eastAsia="Times New Roman" w:hAnsiTheme="minorHAnsi"/>
        </w:rPr>
      </w:pPr>
      <w:r w:rsidRPr="00C212AE">
        <w:rPr>
          <w:rFonts w:asciiTheme="minorHAnsi" w:eastAsia="Times New Roman" w:hAnsiTheme="minorHAnsi"/>
        </w:rPr>
        <w:t>taxable corporations</w:t>
      </w:r>
    </w:p>
    <w:p w14:paraId="3379DF52" w14:textId="77777777" w:rsidR="00930AFA" w:rsidRPr="00C212AE" w:rsidRDefault="00930AFA" w:rsidP="00930AFA">
      <w:pPr>
        <w:numPr>
          <w:ilvl w:val="0"/>
          <w:numId w:val="5"/>
        </w:numPr>
        <w:spacing w:before="100" w:beforeAutospacing="1" w:after="100" w:afterAutospacing="1"/>
        <w:rPr>
          <w:rFonts w:asciiTheme="minorHAnsi" w:eastAsia="Times New Roman" w:hAnsiTheme="minorHAnsi"/>
        </w:rPr>
      </w:pPr>
      <w:r w:rsidRPr="00C212AE">
        <w:rPr>
          <w:rFonts w:asciiTheme="minorHAnsi" w:eastAsia="Times New Roman" w:hAnsiTheme="minorHAnsi"/>
        </w:rPr>
        <w:t xml:space="preserve">partnerships consisting of eligible employers, non-profit organizations, and registered charities.  </w:t>
      </w:r>
      <w:r w:rsidRPr="00C212AE">
        <w:rPr>
          <w:rFonts w:asciiTheme="minorHAnsi" w:eastAsia="Calibri" w:hAnsiTheme="minorHAnsi" w:cs="Calibri"/>
        </w:rPr>
        <w:t xml:space="preserve">Employers are eligible if they experience at least a 15% decline in revenue in March, and at least 30% decline in April and May.  </w:t>
      </w:r>
      <w:r w:rsidRPr="00C212AE">
        <w:rPr>
          <w:rFonts w:asciiTheme="minorHAnsi" w:hAnsiTheme="minorHAnsi" w:cs="Arial"/>
          <w:lang w:val="en"/>
        </w:rPr>
        <w:t xml:space="preserve">The program will be in place for a 12-week period, from March 15 to June 6, 2020. </w:t>
      </w:r>
    </w:p>
    <w:p w14:paraId="65791A90" w14:textId="77777777" w:rsidR="00930AFA" w:rsidRPr="00C212AE" w:rsidRDefault="00930AFA" w:rsidP="00930AFA">
      <w:pPr>
        <w:spacing w:before="100" w:beforeAutospacing="1" w:after="100" w:afterAutospacing="1"/>
        <w:rPr>
          <w:rFonts w:asciiTheme="minorHAnsi" w:eastAsia="Times New Roman" w:hAnsiTheme="minorHAnsi"/>
        </w:rPr>
      </w:pPr>
      <w:r w:rsidRPr="00C212AE">
        <w:rPr>
          <w:rFonts w:asciiTheme="minorHAnsi" w:eastAsia="Times New Roman" w:hAnsiTheme="minorHAnsi"/>
        </w:rPr>
        <w:t xml:space="preserve">Note:  Public bodies are not eligible for this subsidy. </w:t>
      </w:r>
    </w:p>
    <w:p w14:paraId="71FCF4FB" w14:textId="77777777" w:rsidR="00930AFA" w:rsidRPr="00C212AE" w:rsidRDefault="00930AFA" w:rsidP="00930AFA">
      <w:pPr>
        <w:pStyle w:val="Heading3"/>
        <w:rPr>
          <w:rFonts w:asciiTheme="minorHAnsi" w:hAnsiTheme="minorHAnsi" w:cs="Arial"/>
          <w:color w:val="auto"/>
          <w:lang w:val="en"/>
        </w:rPr>
      </w:pPr>
      <w:r w:rsidRPr="00C212AE">
        <w:rPr>
          <w:rFonts w:asciiTheme="minorHAnsi" w:hAnsiTheme="minorHAnsi" w:cs="Arial"/>
          <w:color w:val="auto"/>
          <w:lang w:val="en"/>
        </w:rPr>
        <w:t>Eligible employees</w:t>
      </w:r>
    </w:p>
    <w:p w14:paraId="104F25E4" w14:textId="77777777" w:rsidR="00930AFA" w:rsidRPr="00C212AE" w:rsidRDefault="00930AFA" w:rsidP="00930AFA">
      <w:pPr>
        <w:numPr>
          <w:ilvl w:val="0"/>
          <w:numId w:val="5"/>
        </w:numPr>
        <w:spacing w:before="100" w:beforeAutospacing="1" w:after="100" w:afterAutospacing="1"/>
        <w:rPr>
          <w:rFonts w:asciiTheme="minorHAnsi" w:eastAsia="Times New Roman" w:hAnsiTheme="minorHAnsi"/>
          <w:color w:val="333333"/>
        </w:rPr>
      </w:pPr>
      <w:r w:rsidRPr="00C212AE">
        <w:rPr>
          <w:rFonts w:asciiTheme="minorHAnsi" w:hAnsiTheme="minorHAnsi" w:cs="Helvetica"/>
          <w:lang w:val="en-CA"/>
        </w:rPr>
        <w:t xml:space="preserve">An employee is </w:t>
      </w:r>
      <w:r w:rsidRPr="00C212AE">
        <w:rPr>
          <w:rStyle w:val="Strong"/>
          <w:rFonts w:asciiTheme="minorHAnsi" w:hAnsiTheme="minorHAnsi" w:cs="Helvetica"/>
          <w:lang w:val="en-CA"/>
        </w:rPr>
        <w:t>either</w:t>
      </w:r>
      <w:r w:rsidRPr="00C212AE">
        <w:rPr>
          <w:rFonts w:asciiTheme="minorHAnsi" w:hAnsiTheme="minorHAnsi" w:cs="Helvetica"/>
          <w:lang w:val="en-CA"/>
        </w:rPr>
        <w:t xml:space="preserve"> in receipt of the CEWS from their employer </w:t>
      </w:r>
      <w:r w:rsidRPr="00C212AE">
        <w:rPr>
          <w:rStyle w:val="Strong"/>
          <w:rFonts w:asciiTheme="minorHAnsi" w:hAnsiTheme="minorHAnsi" w:cs="Helvetica"/>
          <w:lang w:val="en-CA"/>
        </w:rPr>
        <w:t>or</w:t>
      </w:r>
      <w:r w:rsidRPr="00C212AE">
        <w:rPr>
          <w:rFonts w:asciiTheme="minorHAnsi" w:hAnsiTheme="minorHAnsi" w:cs="Helvetica"/>
          <w:lang w:val="en-CA"/>
        </w:rPr>
        <w:t xml:space="preserve"> the CERB from the government </w:t>
      </w:r>
      <w:r w:rsidRPr="00C212AE">
        <w:rPr>
          <w:rStyle w:val="Strong"/>
          <w:rFonts w:asciiTheme="minorHAnsi" w:hAnsiTheme="minorHAnsi" w:cs="Helvetica"/>
          <w:lang w:val="en-CA"/>
        </w:rPr>
        <w:t>but not both.</w:t>
      </w:r>
    </w:p>
    <w:p w14:paraId="476D5419" w14:textId="77777777" w:rsidR="00930AFA" w:rsidRPr="00C212AE" w:rsidRDefault="00930AFA" w:rsidP="00930AFA">
      <w:pPr>
        <w:rPr>
          <w:rFonts w:asciiTheme="minorHAnsi" w:hAnsiTheme="minorHAnsi"/>
          <w:b/>
        </w:rPr>
      </w:pPr>
      <w:r w:rsidRPr="00C212AE">
        <w:rPr>
          <w:rFonts w:asciiTheme="minorHAnsi" w:hAnsiTheme="minorHAnsi" w:cs="Arial"/>
          <w:b/>
          <w:lang w:val="en"/>
        </w:rPr>
        <w:t>How to Apply</w:t>
      </w:r>
    </w:p>
    <w:p w14:paraId="48402CBB" w14:textId="77777777" w:rsidR="00930AFA" w:rsidRPr="00C212AE" w:rsidRDefault="00930AFA" w:rsidP="00C975A2">
      <w:pPr>
        <w:pStyle w:val="ListParagraph"/>
        <w:numPr>
          <w:ilvl w:val="0"/>
          <w:numId w:val="9"/>
        </w:numPr>
        <w:spacing w:before="100" w:beforeAutospacing="1" w:after="100" w:afterAutospacing="1"/>
        <w:rPr>
          <w:rFonts w:asciiTheme="minorHAnsi" w:eastAsia="Times New Roman" w:hAnsiTheme="minorHAnsi"/>
          <w:color w:val="0070C0"/>
        </w:rPr>
      </w:pPr>
      <w:r w:rsidRPr="00C212AE">
        <w:rPr>
          <w:rFonts w:asciiTheme="minorHAnsi" w:hAnsiTheme="minorHAnsi" w:cs="Arial"/>
          <w:lang w:val="en"/>
        </w:rPr>
        <w:t>Eligible employers will be able to apply for the CEWS through the Canada Revenue Agency's </w:t>
      </w:r>
      <w:r w:rsidRPr="00C212AE">
        <w:rPr>
          <w:rStyle w:val="Emphasis"/>
          <w:rFonts w:asciiTheme="minorHAnsi" w:hAnsiTheme="minorHAnsi" w:cs="Arial"/>
          <w:lang w:val="en"/>
        </w:rPr>
        <w:t>My Business Account</w:t>
      </w:r>
      <w:r w:rsidRPr="00C212AE">
        <w:rPr>
          <w:rFonts w:asciiTheme="minorHAnsi" w:hAnsiTheme="minorHAnsi" w:cs="Arial"/>
          <w:lang w:val="en"/>
        </w:rPr>
        <w:t xml:space="preserve"> portal. </w:t>
      </w:r>
      <w:r w:rsidRPr="00C212AE">
        <w:rPr>
          <w:rFonts w:asciiTheme="minorHAnsi" w:eastAsia="Calibri" w:hAnsiTheme="minorHAnsi" w:cs="Calibri"/>
        </w:rPr>
        <w:t>Employers applying must keep records demonstrating their decline in revenues and remuneration paid to employees.</w:t>
      </w:r>
    </w:p>
    <w:p w14:paraId="6100E01E" w14:textId="77777777" w:rsidR="00930AFA" w:rsidRPr="00C212AE" w:rsidRDefault="00930AFA" w:rsidP="00930AFA">
      <w:pPr>
        <w:spacing w:before="100" w:beforeAutospacing="1" w:after="100" w:afterAutospacing="1"/>
        <w:rPr>
          <w:rFonts w:asciiTheme="minorHAnsi" w:eastAsia="Times New Roman" w:hAnsiTheme="minorHAnsi"/>
          <w:b/>
        </w:rPr>
      </w:pPr>
      <w:r w:rsidRPr="00C212AE">
        <w:rPr>
          <w:rFonts w:asciiTheme="minorHAnsi" w:eastAsia="Times New Roman" w:hAnsiTheme="minorHAnsi"/>
          <w:b/>
        </w:rPr>
        <w:t>Amount of Subsidy</w:t>
      </w:r>
    </w:p>
    <w:p w14:paraId="79A2C519" w14:textId="77777777" w:rsidR="00930AFA" w:rsidRPr="00C212AE" w:rsidRDefault="00930AFA" w:rsidP="00930AFA">
      <w:pPr>
        <w:spacing w:after="173"/>
        <w:rPr>
          <w:rFonts w:asciiTheme="minorHAnsi" w:hAnsiTheme="minorHAnsi"/>
        </w:rPr>
      </w:pPr>
      <w:r w:rsidRPr="00C212AE">
        <w:rPr>
          <w:rFonts w:asciiTheme="minorHAnsi" w:hAnsiTheme="minorHAnsi"/>
        </w:rPr>
        <w:t>The subsidy amount for a given employee on eligible remuneration paid for the period between March 15 and June 6, 2020 is the greater of:</w:t>
      </w:r>
    </w:p>
    <w:p w14:paraId="747046FE" w14:textId="77777777" w:rsidR="00930AFA" w:rsidRPr="00C212AE" w:rsidRDefault="00930AFA" w:rsidP="00930AFA">
      <w:pPr>
        <w:numPr>
          <w:ilvl w:val="0"/>
          <w:numId w:val="7"/>
        </w:numPr>
        <w:spacing w:before="100" w:beforeAutospacing="1" w:after="100" w:afterAutospacing="1"/>
        <w:rPr>
          <w:rFonts w:asciiTheme="minorHAnsi" w:eastAsia="Times New Roman" w:hAnsiTheme="minorHAnsi"/>
        </w:rPr>
      </w:pPr>
      <w:r w:rsidRPr="00C212AE">
        <w:rPr>
          <w:rFonts w:asciiTheme="minorHAnsi" w:eastAsia="Times New Roman" w:hAnsiTheme="minorHAnsi"/>
        </w:rPr>
        <w:t>75% of the amount of remuneration paid, up to a maximum benefit of $847 per week; and</w:t>
      </w:r>
    </w:p>
    <w:p w14:paraId="5F86DF2F" w14:textId="365BDE52" w:rsidR="00C975A2" w:rsidRPr="00C212AE" w:rsidRDefault="0087215C" w:rsidP="00C975A2">
      <w:pPr>
        <w:numPr>
          <w:ilvl w:val="0"/>
          <w:numId w:val="7"/>
        </w:numPr>
        <w:spacing w:before="100" w:beforeAutospacing="1" w:after="100" w:afterAutospacing="1"/>
        <w:rPr>
          <w:rFonts w:asciiTheme="minorHAnsi" w:eastAsia="Times New Roman" w:hAnsiTheme="minorHAnsi"/>
        </w:rPr>
      </w:pPr>
      <w:r>
        <w:rPr>
          <w:rFonts w:asciiTheme="minorHAnsi" w:eastAsia="Times New Roman" w:hAnsiTheme="minorHAnsi"/>
        </w:rPr>
        <w:t>t</w:t>
      </w:r>
      <w:r w:rsidR="00930AFA" w:rsidRPr="00C212AE">
        <w:rPr>
          <w:rFonts w:asciiTheme="minorHAnsi" w:eastAsia="Times New Roman" w:hAnsiTheme="minorHAnsi"/>
        </w:rPr>
        <w:t>he amount of remuneration paid, up to a maximum benefit of $847 per week or 75% of the employee's pre-crisis weekly remuneration, whichever is less.</w:t>
      </w:r>
    </w:p>
    <w:p w14:paraId="16A810B2" w14:textId="19F16BA9" w:rsidR="00930AFA" w:rsidRPr="00C212AE" w:rsidRDefault="0087215C" w:rsidP="00C975A2">
      <w:pPr>
        <w:numPr>
          <w:ilvl w:val="0"/>
          <w:numId w:val="7"/>
        </w:numPr>
        <w:spacing w:before="100" w:beforeAutospacing="1" w:after="100" w:afterAutospacing="1"/>
        <w:rPr>
          <w:rFonts w:asciiTheme="minorHAnsi" w:eastAsia="Times New Roman" w:hAnsiTheme="minorHAnsi"/>
        </w:rPr>
      </w:pPr>
      <w:r>
        <w:rPr>
          <w:rFonts w:asciiTheme="minorHAnsi" w:hAnsiTheme="minorHAnsi"/>
        </w:rPr>
        <w:t>T</w:t>
      </w:r>
      <w:r w:rsidR="00930AFA" w:rsidRPr="00C212AE">
        <w:rPr>
          <w:rFonts w:asciiTheme="minorHAnsi" w:hAnsiTheme="minorHAnsi"/>
        </w:rPr>
        <w:t>he pre-crisis remuneration for a given employee is based on the average weekly remuneration paid between January 1 and March 15 inclusively, excluding any seven-day periods in respect of which the employee did not receive remuneration.</w:t>
      </w:r>
    </w:p>
    <w:p w14:paraId="489545A5" w14:textId="77777777" w:rsidR="00930AFA" w:rsidRPr="00C212AE" w:rsidRDefault="00930AFA" w:rsidP="00930AFA">
      <w:pPr>
        <w:pStyle w:val="ListParagraph"/>
        <w:numPr>
          <w:ilvl w:val="0"/>
          <w:numId w:val="6"/>
        </w:numPr>
        <w:spacing w:after="173"/>
        <w:rPr>
          <w:rFonts w:asciiTheme="minorHAnsi" w:hAnsiTheme="minorHAnsi"/>
        </w:rPr>
      </w:pPr>
      <w:r w:rsidRPr="00C212AE">
        <w:rPr>
          <w:rFonts w:asciiTheme="minorHAnsi" w:hAnsiTheme="minorHAnsi"/>
        </w:rPr>
        <w:lastRenderedPageBreak/>
        <w:t>Employers are also eligible for a subsidy of up to 75% of salaries and wages paid to new employees.</w:t>
      </w:r>
    </w:p>
    <w:p w14:paraId="219DA1A3" w14:textId="77777777" w:rsidR="00930AFA" w:rsidRPr="00C212AE" w:rsidRDefault="00930AFA" w:rsidP="00930AFA">
      <w:pPr>
        <w:pStyle w:val="ListParagraph"/>
        <w:numPr>
          <w:ilvl w:val="0"/>
          <w:numId w:val="6"/>
        </w:numPr>
        <w:spacing w:after="173"/>
        <w:rPr>
          <w:rFonts w:asciiTheme="minorHAnsi" w:hAnsiTheme="minorHAnsi"/>
        </w:rPr>
      </w:pPr>
      <w:r w:rsidRPr="00C212AE">
        <w:rPr>
          <w:rFonts w:asciiTheme="minorHAnsi" w:eastAsia="Times New Roman" w:hAnsiTheme="minorHAnsi" w:cs="Arial"/>
          <w:lang w:val="en"/>
        </w:rPr>
        <w:t xml:space="preserve">There is </w:t>
      </w:r>
      <w:r w:rsidRPr="00C212AE">
        <w:rPr>
          <w:rFonts w:asciiTheme="minorHAnsi" w:eastAsia="Times New Roman" w:hAnsiTheme="minorHAnsi" w:cs="Arial"/>
          <w:b/>
          <w:lang w:val="en"/>
        </w:rPr>
        <w:t>no overall limit on the subsidy amount that an eligible employer may claim.</w:t>
      </w:r>
    </w:p>
    <w:p w14:paraId="374EA3C3" w14:textId="77777777" w:rsidR="00930AFA" w:rsidRPr="00C212AE" w:rsidRDefault="00930AFA" w:rsidP="00930AFA">
      <w:pPr>
        <w:pStyle w:val="ListParagraph"/>
        <w:numPr>
          <w:ilvl w:val="0"/>
          <w:numId w:val="6"/>
        </w:numPr>
        <w:spacing w:after="173"/>
        <w:rPr>
          <w:rFonts w:asciiTheme="minorHAnsi" w:hAnsiTheme="minorHAnsi"/>
        </w:rPr>
      </w:pPr>
      <w:r w:rsidRPr="00C212AE">
        <w:rPr>
          <w:rFonts w:asciiTheme="minorHAnsi" w:eastAsia="Times New Roman" w:hAnsiTheme="minorHAnsi" w:cs="Arial"/>
          <w:lang w:val="en"/>
        </w:rPr>
        <w:t>Employers are expected to make their best effort to top-up employees' salaries to bring them to pre-crisis levels.</w:t>
      </w:r>
    </w:p>
    <w:p w14:paraId="508022AB" w14:textId="77777777" w:rsidR="0087215C" w:rsidRDefault="00930AFA" w:rsidP="0087215C">
      <w:pPr>
        <w:spacing w:after="173"/>
        <w:ind w:left="360"/>
        <w:rPr>
          <w:rFonts w:asciiTheme="minorHAnsi" w:hAnsiTheme="minorHAnsi"/>
        </w:rPr>
      </w:pPr>
      <w:r w:rsidRPr="00C212AE">
        <w:rPr>
          <w:rFonts w:asciiTheme="minorHAnsi" w:hAnsiTheme="minorHAnsi"/>
        </w:rPr>
        <w:t xml:space="preserve">*A special rule applies to employees that do not deal with at arm’s length with the employer.  </w:t>
      </w:r>
      <w:r w:rsidR="00C212AE" w:rsidRPr="00C212AE">
        <w:rPr>
          <w:rFonts w:asciiTheme="minorHAnsi" w:hAnsiTheme="minorHAnsi"/>
        </w:rPr>
        <w:t xml:space="preserve">Please refer </w:t>
      </w:r>
      <w:hyperlink r:id="rId8" w:anchor="wage_subsidies" w:history="1">
        <w:r w:rsidR="00C212AE" w:rsidRPr="00C212AE">
          <w:rPr>
            <w:rStyle w:val="Hyperlink"/>
            <w:rFonts w:asciiTheme="minorHAnsi" w:hAnsiTheme="minorHAnsi"/>
            <w:color w:val="44546A" w:themeColor="text2"/>
          </w:rPr>
          <w:t>here</w:t>
        </w:r>
      </w:hyperlink>
      <w:r w:rsidR="00C212AE" w:rsidRPr="00C212AE">
        <w:rPr>
          <w:rFonts w:asciiTheme="minorHAnsi" w:hAnsiTheme="minorHAnsi"/>
          <w:color w:val="44546A" w:themeColor="text2"/>
        </w:rPr>
        <w:t xml:space="preserve"> </w:t>
      </w:r>
      <w:r w:rsidR="00C212AE" w:rsidRPr="00C212AE">
        <w:rPr>
          <w:rFonts w:asciiTheme="minorHAnsi" w:hAnsiTheme="minorHAnsi"/>
        </w:rPr>
        <w:t>for further details.</w:t>
      </w:r>
    </w:p>
    <w:p w14:paraId="4D508AFD" w14:textId="5EBEE917" w:rsidR="00930AFA" w:rsidRPr="0087215C" w:rsidRDefault="00930AFA" w:rsidP="0087215C">
      <w:pPr>
        <w:spacing w:after="173"/>
        <w:rPr>
          <w:rFonts w:asciiTheme="minorHAnsi" w:hAnsiTheme="minorHAnsi"/>
          <w:b/>
          <w:color w:val="333333"/>
        </w:rPr>
      </w:pPr>
      <w:r w:rsidRPr="0087215C">
        <w:rPr>
          <w:rFonts w:asciiTheme="minorHAnsi" w:eastAsia="Times New Roman" w:hAnsiTheme="minorHAnsi"/>
          <w:b/>
        </w:rPr>
        <w:t>Eligible Periods</w:t>
      </w:r>
    </w:p>
    <w:p w14:paraId="25F0F87C" w14:textId="77777777" w:rsidR="00930AFA" w:rsidRPr="00C212AE" w:rsidRDefault="00930AFA" w:rsidP="00930AFA">
      <w:pPr>
        <w:pStyle w:val="NormalWeb"/>
        <w:rPr>
          <w:rFonts w:asciiTheme="minorHAnsi" w:hAnsiTheme="minorHAnsi" w:cs="Arial"/>
          <w:lang w:val="en"/>
        </w:rPr>
      </w:pPr>
      <w:r w:rsidRPr="00C212AE">
        <w:rPr>
          <w:rFonts w:asciiTheme="minorHAnsi" w:hAnsiTheme="minorHAnsi" w:cs="Arial"/>
          <w:lang w:val="en"/>
        </w:rPr>
        <w:t>Eligibility is determined by the change in an eligible employer's monthly revenues, year-over-year, for the calendar month in which the period began.</w:t>
      </w:r>
    </w:p>
    <w:p w14:paraId="28796818" w14:textId="77777777" w:rsidR="00930AFA" w:rsidRPr="00C212AE" w:rsidRDefault="00930AFA" w:rsidP="00930AFA">
      <w:pPr>
        <w:pStyle w:val="NormalWeb"/>
        <w:rPr>
          <w:rFonts w:asciiTheme="minorHAnsi" w:hAnsiTheme="minorHAnsi" w:cs="Arial"/>
          <w:lang w:val="en"/>
        </w:rPr>
      </w:pPr>
      <w:r w:rsidRPr="00C212AE">
        <w:rPr>
          <w:rFonts w:asciiTheme="minorHAnsi" w:hAnsiTheme="minorHAnsi" w:cs="Arial"/>
          <w:lang w:val="en"/>
        </w:rPr>
        <w:t>All employers are allowed to calculate their change in revenue using an alternative benchmark to determine their eligibility. This provides flexibility to employers for which the general approach may not be appropriate, including high-growth firms, sectors that faced difficulties in 2019, non-profits and charities, as well as employers established after February 2019.</w:t>
      </w:r>
    </w:p>
    <w:p w14:paraId="549B194A" w14:textId="77777777" w:rsidR="00930AFA" w:rsidRPr="00C212AE" w:rsidRDefault="00930AFA" w:rsidP="00930AFA">
      <w:pPr>
        <w:pStyle w:val="NormalWeb"/>
        <w:rPr>
          <w:rFonts w:asciiTheme="minorHAnsi" w:hAnsiTheme="minorHAnsi" w:cs="Arial"/>
          <w:lang w:val="en"/>
        </w:rPr>
      </w:pPr>
      <w:r w:rsidRPr="00C212AE">
        <w:rPr>
          <w:rFonts w:asciiTheme="minorHAnsi" w:hAnsiTheme="minorHAnsi" w:cs="Arial"/>
          <w:lang w:val="en"/>
        </w:rPr>
        <w:t>Under this alternative approach, employers are allowed to compare their revenue using an average of their revenue earned in January and February 2020. Employers can select the general year-over-year approach or this alternative approach when first applying for the CEWS.</w:t>
      </w:r>
    </w:p>
    <w:p w14:paraId="5D260B0A" w14:textId="77777777" w:rsidR="00930AFA" w:rsidRPr="00C212AE" w:rsidRDefault="00930AFA" w:rsidP="00930AFA">
      <w:pPr>
        <w:pStyle w:val="NormalWeb"/>
        <w:rPr>
          <w:rFonts w:asciiTheme="minorHAnsi" w:hAnsiTheme="minorHAnsi" w:cs="Arial"/>
          <w:lang w:val="en"/>
        </w:rPr>
      </w:pPr>
      <w:r w:rsidRPr="00C212AE">
        <w:rPr>
          <w:rFonts w:asciiTheme="minorHAnsi" w:hAnsiTheme="minorHAnsi" w:cs="Arial"/>
          <w:lang w:val="en"/>
        </w:rPr>
        <w:t>Once an approach is chosen, the employer is required to use the same approach for the entire duration of the program.</w:t>
      </w:r>
    </w:p>
    <w:p w14:paraId="178272B3" w14:textId="77777777" w:rsidR="00930AFA" w:rsidRPr="00C212AE" w:rsidRDefault="00930AFA" w:rsidP="00930AFA">
      <w:pPr>
        <w:pStyle w:val="NormalWeb"/>
        <w:rPr>
          <w:rFonts w:asciiTheme="minorHAnsi" w:hAnsiTheme="minorHAnsi" w:cs="Arial"/>
          <w:lang w:val="en"/>
        </w:rPr>
      </w:pPr>
      <w:r w:rsidRPr="00C212AE">
        <w:rPr>
          <w:rFonts w:asciiTheme="minorHAnsi" w:hAnsiTheme="minorHAnsi" w:cs="Arial"/>
          <w:lang w:val="en"/>
        </w:rPr>
        <w:t>In order to provide certainty to employers, once an employer is found eligible for a specific period, the employer automatically qualifies for the next period.</w:t>
      </w:r>
    </w:p>
    <w:p w14:paraId="0276FE5E" w14:textId="77777777" w:rsidR="00930AFA" w:rsidRPr="00C212AE" w:rsidRDefault="00930AFA" w:rsidP="00930AFA">
      <w:pPr>
        <w:pStyle w:val="NormalWeb"/>
        <w:rPr>
          <w:rFonts w:asciiTheme="minorHAnsi" w:hAnsiTheme="minorHAnsi" w:cs="Arial"/>
          <w:lang w:val="en"/>
        </w:rPr>
      </w:pPr>
      <w:r w:rsidRPr="00C212AE">
        <w:rPr>
          <w:rFonts w:asciiTheme="minorHAnsi" w:hAnsiTheme="minorHAnsi" w:cs="Arial"/>
          <w:lang w:val="en"/>
        </w:rPr>
        <w:t xml:space="preserve">The amount of wage subsidy (provided under </w:t>
      </w:r>
      <w:r w:rsidRPr="00A2181B">
        <w:rPr>
          <w:rFonts w:asciiTheme="minorHAnsi" w:hAnsiTheme="minorHAnsi" w:cs="Arial"/>
          <w:color w:val="3B3838" w:themeColor="background2" w:themeShade="40"/>
          <w:lang w:val="en"/>
        </w:rPr>
        <w:t>the </w:t>
      </w:r>
      <w:hyperlink r:id="rId9" w:history="1">
        <w:r w:rsidRPr="00A2181B">
          <w:rPr>
            <w:rStyle w:val="Hyperlink"/>
            <w:rFonts w:asciiTheme="minorHAnsi" w:eastAsiaTheme="majorEastAsia" w:hAnsiTheme="minorHAnsi" w:cs="Arial"/>
            <w:color w:val="3B3838" w:themeColor="background2" w:themeShade="40"/>
            <w:lang w:val="en"/>
          </w:rPr>
          <w:t>COVID-19 Economic Response Plan</w:t>
        </w:r>
      </w:hyperlink>
      <w:r w:rsidRPr="00C212AE">
        <w:rPr>
          <w:rFonts w:asciiTheme="minorHAnsi" w:hAnsiTheme="minorHAnsi" w:cs="Arial"/>
          <w:lang w:val="en"/>
        </w:rPr>
        <w:t>) received by the employer in a given month is ignored for the purpose of measuring year-over-year changes in monthly revenues. </w:t>
      </w:r>
    </w:p>
    <w:p w14:paraId="3AE824EF" w14:textId="5DE2FE79" w:rsidR="00930AFA" w:rsidRPr="00C212AE" w:rsidRDefault="00930AFA" w:rsidP="00C975A2">
      <w:pPr>
        <w:pStyle w:val="NormalWeb"/>
        <w:rPr>
          <w:rFonts w:asciiTheme="minorHAnsi" w:eastAsiaTheme="minorHAnsi" w:hAnsiTheme="minorHAnsi"/>
          <w:color w:val="333333"/>
        </w:rPr>
      </w:pPr>
      <w:r w:rsidRPr="00C212AE">
        <w:rPr>
          <w:rFonts w:asciiTheme="minorHAnsi" w:hAnsiTheme="minorHAnsi" w:cs="Arial"/>
          <w:b/>
          <w:lang w:val="en"/>
        </w:rPr>
        <w:t xml:space="preserve">There are 3 Claiming periods.  </w:t>
      </w:r>
      <w:r w:rsidRPr="00C212AE">
        <w:rPr>
          <w:rFonts w:asciiTheme="minorHAnsi" w:eastAsiaTheme="minorHAnsi" w:hAnsiTheme="minorHAnsi"/>
        </w:rPr>
        <w:t>The table below outlines each claiming period, the required reduction in revenue and the reference period for eligibility.</w:t>
      </w:r>
    </w:p>
    <w:p w14:paraId="76DDC2A2" w14:textId="77777777" w:rsidR="00930AFA" w:rsidRPr="00C212AE" w:rsidRDefault="00930AFA" w:rsidP="00930AFA">
      <w:pPr>
        <w:ind w:left="360"/>
        <w:rPr>
          <w:rFonts w:asciiTheme="minorHAnsi" w:hAnsiTheme="minorHAnsi" w:cs="Arial"/>
          <w:lang w:val="en"/>
        </w:rPr>
      </w:pPr>
    </w:p>
    <w:tbl>
      <w:tblPr>
        <w:tblStyle w:val="TableGrid"/>
        <w:tblW w:w="0" w:type="auto"/>
        <w:tblLook w:val="04A0" w:firstRow="1" w:lastRow="0" w:firstColumn="1" w:lastColumn="0" w:noHBand="0" w:noVBand="1"/>
      </w:tblPr>
      <w:tblGrid>
        <w:gridCol w:w="1098"/>
        <w:gridCol w:w="2070"/>
        <w:gridCol w:w="3330"/>
        <w:gridCol w:w="3078"/>
      </w:tblGrid>
      <w:tr w:rsidR="00930AFA" w:rsidRPr="00C212AE" w14:paraId="02AE7AA3" w14:textId="77777777" w:rsidTr="00827531">
        <w:tc>
          <w:tcPr>
            <w:tcW w:w="1098" w:type="dxa"/>
          </w:tcPr>
          <w:p w14:paraId="3480AA94" w14:textId="77777777" w:rsidR="00930AFA" w:rsidRPr="00C212AE" w:rsidRDefault="00930AFA" w:rsidP="00827531">
            <w:pPr>
              <w:pStyle w:val="NormalWeb"/>
              <w:spacing w:after="0"/>
              <w:rPr>
                <w:rFonts w:asciiTheme="minorHAnsi" w:hAnsiTheme="minorHAnsi" w:cs="Arial"/>
                <w:b/>
                <w:sz w:val="24"/>
                <w:szCs w:val="24"/>
                <w:lang w:val="en"/>
              </w:rPr>
            </w:pPr>
          </w:p>
        </w:tc>
        <w:tc>
          <w:tcPr>
            <w:tcW w:w="2070" w:type="dxa"/>
          </w:tcPr>
          <w:p w14:paraId="471CAEA1" w14:textId="77777777" w:rsidR="00930AFA" w:rsidRPr="00C212AE" w:rsidRDefault="00930AFA" w:rsidP="00827531">
            <w:pPr>
              <w:pStyle w:val="NormalWeb"/>
              <w:spacing w:after="0"/>
              <w:rPr>
                <w:rFonts w:asciiTheme="minorHAnsi" w:hAnsiTheme="minorHAnsi" w:cs="Arial"/>
                <w:b/>
                <w:sz w:val="24"/>
                <w:szCs w:val="24"/>
                <w:lang w:val="en"/>
              </w:rPr>
            </w:pPr>
            <w:r w:rsidRPr="00C212AE">
              <w:rPr>
                <w:rFonts w:asciiTheme="minorHAnsi" w:hAnsiTheme="minorHAnsi" w:cs="Arial"/>
                <w:b/>
                <w:sz w:val="24"/>
                <w:szCs w:val="24"/>
                <w:lang w:val="en"/>
              </w:rPr>
              <w:t>Claiming Period</w:t>
            </w:r>
          </w:p>
        </w:tc>
        <w:tc>
          <w:tcPr>
            <w:tcW w:w="3330" w:type="dxa"/>
          </w:tcPr>
          <w:p w14:paraId="32643F8A" w14:textId="77777777" w:rsidR="00930AFA" w:rsidRPr="00C212AE" w:rsidRDefault="00930AFA" w:rsidP="00827531">
            <w:pPr>
              <w:pStyle w:val="NormalWeb"/>
              <w:spacing w:after="0"/>
              <w:rPr>
                <w:rFonts w:asciiTheme="minorHAnsi" w:hAnsiTheme="minorHAnsi" w:cs="Arial"/>
                <w:b/>
                <w:sz w:val="24"/>
                <w:szCs w:val="24"/>
                <w:lang w:val="en"/>
              </w:rPr>
            </w:pPr>
            <w:r w:rsidRPr="00C212AE">
              <w:rPr>
                <w:rFonts w:asciiTheme="minorHAnsi" w:hAnsiTheme="minorHAnsi" w:cs="Arial"/>
                <w:b/>
                <w:sz w:val="24"/>
                <w:szCs w:val="24"/>
                <w:lang w:val="en"/>
              </w:rPr>
              <w:t>Required reduction in revenue</w:t>
            </w:r>
          </w:p>
        </w:tc>
        <w:tc>
          <w:tcPr>
            <w:tcW w:w="3078" w:type="dxa"/>
          </w:tcPr>
          <w:p w14:paraId="4AE65DEF" w14:textId="77777777" w:rsidR="00930AFA" w:rsidRPr="00C212AE" w:rsidRDefault="00930AFA" w:rsidP="00827531">
            <w:pPr>
              <w:pStyle w:val="NormalWeb"/>
              <w:spacing w:after="0"/>
              <w:rPr>
                <w:rFonts w:asciiTheme="minorHAnsi" w:hAnsiTheme="minorHAnsi" w:cs="Arial"/>
                <w:b/>
                <w:sz w:val="24"/>
                <w:szCs w:val="24"/>
                <w:lang w:val="en"/>
              </w:rPr>
            </w:pPr>
            <w:r w:rsidRPr="00C212AE">
              <w:rPr>
                <w:rFonts w:asciiTheme="minorHAnsi" w:hAnsiTheme="minorHAnsi" w:cs="Arial"/>
                <w:b/>
                <w:sz w:val="24"/>
                <w:szCs w:val="24"/>
                <w:lang w:val="en"/>
              </w:rPr>
              <w:t xml:space="preserve">Reference period for eligibility </w:t>
            </w:r>
          </w:p>
        </w:tc>
      </w:tr>
      <w:tr w:rsidR="00930AFA" w:rsidRPr="00C212AE" w14:paraId="35260FDA" w14:textId="77777777" w:rsidTr="00827531">
        <w:tc>
          <w:tcPr>
            <w:tcW w:w="1098" w:type="dxa"/>
          </w:tcPr>
          <w:p w14:paraId="7AA36666" w14:textId="77777777" w:rsidR="00930AFA" w:rsidRPr="00C212AE" w:rsidRDefault="00930AFA" w:rsidP="00827531">
            <w:pPr>
              <w:pStyle w:val="NormalWeb"/>
              <w:spacing w:after="0"/>
              <w:rPr>
                <w:rFonts w:asciiTheme="minorHAnsi" w:hAnsiTheme="minorHAnsi" w:cs="Arial"/>
                <w:b/>
                <w:sz w:val="24"/>
                <w:szCs w:val="24"/>
                <w:lang w:val="en"/>
              </w:rPr>
            </w:pPr>
            <w:r w:rsidRPr="00C212AE">
              <w:rPr>
                <w:rFonts w:asciiTheme="minorHAnsi" w:hAnsiTheme="minorHAnsi" w:cs="Arial"/>
                <w:b/>
                <w:sz w:val="24"/>
                <w:szCs w:val="24"/>
                <w:lang w:val="en"/>
              </w:rPr>
              <w:t>Period 1</w:t>
            </w:r>
          </w:p>
        </w:tc>
        <w:tc>
          <w:tcPr>
            <w:tcW w:w="2070" w:type="dxa"/>
          </w:tcPr>
          <w:p w14:paraId="699C572F" w14:textId="77777777" w:rsidR="00930AFA" w:rsidRPr="00C212AE" w:rsidRDefault="00930AFA" w:rsidP="00827531">
            <w:pPr>
              <w:pStyle w:val="NormalWeb"/>
              <w:spacing w:after="0"/>
              <w:rPr>
                <w:rFonts w:asciiTheme="minorHAnsi" w:hAnsiTheme="minorHAnsi" w:cs="Arial"/>
                <w:sz w:val="24"/>
                <w:szCs w:val="24"/>
                <w:lang w:val="en"/>
              </w:rPr>
            </w:pPr>
            <w:r w:rsidRPr="00C212AE">
              <w:rPr>
                <w:rFonts w:asciiTheme="minorHAnsi" w:hAnsiTheme="minorHAnsi" w:cs="Arial"/>
                <w:sz w:val="24"/>
                <w:szCs w:val="24"/>
                <w:lang w:val="en"/>
              </w:rPr>
              <w:t>March. 15 – April 11</w:t>
            </w:r>
          </w:p>
        </w:tc>
        <w:tc>
          <w:tcPr>
            <w:tcW w:w="3330" w:type="dxa"/>
          </w:tcPr>
          <w:p w14:paraId="2DC987DB" w14:textId="77777777" w:rsidR="00930AFA" w:rsidRPr="00C212AE" w:rsidRDefault="00930AFA" w:rsidP="00827531">
            <w:pPr>
              <w:pStyle w:val="NormalWeb"/>
              <w:spacing w:after="0"/>
              <w:jc w:val="center"/>
              <w:rPr>
                <w:rFonts w:asciiTheme="minorHAnsi" w:hAnsiTheme="minorHAnsi" w:cs="Arial"/>
                <w:sz w:val="24"/>
                <w:szCs w:val="24"/>
                <w:lang w:val="en"/>
              </w:rPr>
            </w:pPr>
            <w:r w:rsidRPr="00C212AE">
              <w:rPr>
                <w:rFonts w:asciiTheme="minorHAnsi" w:hAnsiTheme="minorHAnsi" w:cs="Arial"/>
                <w:sz w:val="24"/>
                <w:szCs w:val="24"/>
                <w:lang w:val="en"/>
              </w:rPr>
              <w:t>15%</w:t>
            </w:r>
          </w:p>
        </w:tc>
        <w:tc>
          <w:tcPr>
            <w:tcW w:w="3078" w:type="dxa"/>
          </w:tcPr>
          <w:p w14:paraId="276DB7F9" w14:textId="77777777" w:rsidR="00930AFA" w:rsidRPr="00C212AE" w:rsidRDefault="00930AFA" w:rsidP="00827531">
            <w:pPr>
              <w:rPr>
                <w:rFonts w:asciiTheme="minorHAnsi" w:eastAsia="Times New Roman" w:hAnsiTheme="minorHAnsi"/>
                <w:sz w:val="24"/>
                <w:szCs w:val="24"/>
              </w:rPr>
            </w:pPr>
            <w:r w:rsidRPr="00C212AE">
              <w:rPr>
                <w:rFonts w:asciiTheme="minorHAnsi" w:eastAsia="Times New Roman" w:hAnsiTheme="minorHAnsi"/>
                <w:sz w:val="24"/>
                <w:szCs w:val="24"/>
              </w:rPr>
              <w:t>March 2020 over:</w:t>
            </w:r>
          </w:p>
          <w:p w14:paraId="37379603" w14:textId="77777777" w:rsidR="00930AFA" w:rsidRPr="00C212AE" w:rsidRDefault="00930AFA" w:rsidP="00930AFA">
            <w:pPr>
              <w:pStyle w:val="ListParagraph"/>
              <w:numPr>
                <w:ilvl w:val="0"/>
                <w:numId w:val="2"/>
              </w:numPr>
              <w:rPr>
                <w:rFonts w:asciiTheme="minorHAnsi" w:eastAsia="Times New Roman" w:hAnsiTheme="minorHAnsi"/>
                <w:sz w:val="24"/>
                <w:szCs w:val="24"/>
              </w:rPr>
            </w:pPr>
            <w:r w:rsidRPr="00C212AE">
              <w:rPr>
                <w:rFonts w:asciiTheme="minorHAnsi" w:eastAsia="Times New Roman" w:hAnsiTheme="minorHAnsi"/>
                <w:sz w:val="24"/>
                <w:szCs w:val="24"/>
              </w:rPr>
              <w:t>March 2019 or;</w:t>
            </w:r>
          </w:p>
          <w:p w14:paraId="6A82C0A9" w14:textId="77777777" w:rsidR="00930AFA" w:rsidRPr="00C212AE" w:rsidRDefault="00930AFA" w:rsidP="00930AFA">
            <w:pPr>
              <w:pStyle w:val="ListParagraph"/>
              <w:numPr>
                <w:ilvl w:val="0"/>
                <w:numId w:val="2"/>
              </w:numPr>
              <w:rPr>
                <w:rFonts w:asciiTheme="minorHAnsi" w:eastAsia="Times New Roman" w:hAnsiTheme="minorHAnsi"/>
                <w:sz w:val="24"/>
                <w:szCs w:val="24"/>
              </w:rPr>
            </w:pPr>
            <w:r w:rsidRPr="00C212AE">
              <w:rPr>
                <w:rFonts w:asciiTheme="minorHAnsi" w:eastAsia="Times New Roman" w:hAnsiTheme="minorHAnsi"/>
                <w:sz w:val="24"/>
                <w:szCs w:val="24"/>
              </w:rPr>
              <w:t>Average of January and February 2020</w:t>
            </w:r>
          </w:p>
        </w:tc>
      </w:tr>
      <w:tr w:rsidR="00930AFA" w:rsidRPr="00C212AE" w14:paraId="10924DC2" w14:textId="77777777" w:rsidTr="00827531">
        <w:tc>
          <w:tcPr>
            <w:tcW w:w="1098" w:type="dxa"/>
          </w:tcPr>
          <w:p w14:paraId="103AECB9" w14:textId="77777777" w:rsidR="00930AFA" w:rsidRPr="00C212AE" w:rsidRDefault="00930AFA" w:rsidP="00827531">
            <w:pPr>
              <w:pStyle w:val="NormalWeb"/>
              <w:spacing w:after="0"/>
              <w:rPr>
                <w:rFonts w:asciiTheme="minorHAnsi" w:hAnsiTheme="minorHAnsi" w:cs="Arial"/>
                <w:b/>
                <w:sz w:val="24"/>
                <w:szCs w:val="24"/>
                <w:lang w:val="en"/>
              </w:rPr>
            </w:pPr>
            <w:r w:rsidRPr="00C212AE">
              <w:rPr>
                <w:rFonts w:asciiTheme="minorHAnsi" w:hAnsiTheme="minorHAnsi" w:cs="Arial"/>
                <w:b/>
                <w:sz w:val="24"/>
                <w:szCs w:val="24"/>
                <w:lang w:val="en"/>
              </w:rPr>
              <w:t>Period 2</w:t>
            </w:r>
          </w:p>
        </w:tc>
        <w:tc>
          <w:tcPr>
            <w:tcW w:w="2070" w:type="dxa"/>
          </w:tcPr>
          <w:p w14:paraId="3F983678" w14:textId="77777777" w:rsidR="00930AFA" w:rsidRPr="00C212AE" w:rsidRDefault="00930AFA" w:rsidP="00827531">
            <w:pPr>
              <w:pStyle w:val="NormalWeb"/>
              <w:spacing w:after="0"/>
              <w:rPr>
                <w:rFonts w:asciiTheme="minorHAnsi" w:hAnsiTheme="minorHAnsi" w:cs="Arial"/>
                <w:sz w:val="24"/>
                <w:szCs w:val="24"/>
                <w:lang w:val="en"/>
              </w:rPr>
            </w:pPr>
            <w:r w:rsidRPr="00C212AE">
              <w:rPr>
                <w:rFonts w:asciiTheme="minorHAnsi" w:hAnsiTheme="minorHAnsi" w:cs="Arial"/>
                <w:sz w:val="24"/>
                <w:szCs w:val="24"/>
                <w:lang w:val="en"/>
              </w:rPr>
              <w:t>April. 12 – May. 9</w:t>
            </w:r>
          </w:p>
        </w:tc>
        <w:tc>
          <w:tcPr>
            <w:tcW w:w="3330" w:type="dxa"/>
          </w:tcPr>
          <w:p w14:paraId="4D6E7B73" w14:textId="77777777" w:rsidR="00930AFA" w:rsidRPr="00C212AE" w:rsidRDefault="00930AFA" w:rsidP="00827531">
            <w:pPr>
              <w:pStyle w:val="NormalWeb"/>
              <w:spacing w:after="0"/>
              <w:jc w:val="center"/>
              <w:rPr>
                <w:rFonts w:asciiTheme="minorHAnsi" w:hAnsiTheme="minorHAnsi" w:cs="Arial"/>
                <w:sz w:val="24"/>
                <w:szCs w:val="24"/>
                <w:lang w:val="en"/>
              </w:rPr>
            </w:pPr>
            <w:r w:rsidRPr="00C212AE">
              <w:rPr>
                <w:rFonts w:asciiTheme="minorHAnsi" w:hAnsiTheme="minorHAnsi" w:cs="Arial"/>
                <w:sz w:val="24"/>
                <w:szCs w:val="24"/>
                <w:lang w:val="en"/>
              </w:rPr>
              <w:t>30%</w:t>
            </w:r>
          </w:p>
        </w:tc>
        <w:tc>
          <w:tcPr>
            <w:tcW w:w="3078" w:type="dxa"/>
          </w:tcPr>
          <w:p w14:paraId="2282CD29" w14:textId="77777777" w:rsidR="00930AFA" w:rsidRPr="00C212AE" w:rsidRDefault="00930AFA" w:rsidP="00827531">
            <w:pPr>
              <w:pStyle w:val="NormalWeb"/>
              <w:spacing w:after="0"/>
              <w:rPr>
                <w:rFonts w:asciiTheme="minorHAnsi" w:hAnsiTheme="minorHAnsi" w:cs="Arial"/>
                <w:b/>
                <w:sz w:val="24"/>
                <w:szCs w:val="24"/>
                <w:lang w:val="en"/>
              </w:rPr>
            </w:pPr>
            <w:r w:rsidRPr="00C212AE">
              <w:rPr>
                <w:rFonts w:asciiTheme="minorHAnsi" w:hAnsiTheme="minorHAnsi" w:cs="Arial"/>
                <w:sz w:val="24"/>
                <w:szCs w:val="24"/>
                <w:lang w:val="en"/>
              </w:rPr>
              <w:t xml:space="preserve">Eligible for Period 1 </w:t>
            </w:r>
            <w:r w:rsidRPr="00C212AE">
              <w:rPr>
                <w:rFonts w:asciiTheme="minorHAnsi" w:hAnsiTheme="minorHAnsi" w:cs="Arial"/>
                <w:b/>
                <w:sz w:val="24"/>
                <w:szCs w:val="24"/>
                <w:lang w:val="en"/>
              </w:rPr>
              <w:t>OR</w:t>
            </w:r>
          </w:p>
          <w:p w14:paraId="0F056455" w14:textId="77777777" w:rsidR="00930AFA" w:rsidRPr="00C212AE" w:rsidRDefault="00930AFA" w:rsidP="00827531">
            <w:pPr>
              <w:pStyle w:val="NormalWeb"/>
              <w:spacing w:after="0"/>
              <w:rPr>
                <w:rFonts w:asciiTheme="minorHAnsi" w:hAnsiTheme="minorHAnsi" w:cs="Arial"/>
                <w:sz w:val="24"/>
                <w:szCs w:val="24"/>
                <w:lang w:val="en"/>
              </w:rPr>
            </w:pPr>
            <w:r w:rsidRPr="00C212AE">
              <w:rPr>
                <w:rFonts w:asciiTheme="minorHAnsi" w:hAnsiTheme="minorHAnsi" w:cs="Arial"/>
                <w:sz w:val="24"/>
                <w:szCs w:val="24"/>
                <w:lang w:val="en"/>
              </w:rPr>
              <w:t>April 2020 over:</w:t>
            </w:r>
          </w:p>
          <w:p w14:paraId="5CE6BA76" w14:textId="77777777" w:rsidR="00930AFA" w:rsidRPr="00C212AE" w:rsidRDefault="00930AFA" w:rsidP="00930AFA">
            <w:pPr>
              <w:pStyle w:val="NormalWeb"/>
              <w:numPr>
                <w:ilvl w:val="0"/>
                <w:numId w:val="2"/>
              </w:numPr>
              <w:spacing w:after="0"/>
              <w:rPr>
                <w:rFonts w:asciiTheme="minorHAnsi" w:hAnsiTheme="minorHAnsi" w:cs="Arial"/>
                <w:sz w:val="24"/>
                <w:szCs w:val="24"/>
                <w:lang w:val="en"/>
              </w:rPr>
            </w:pPr>
            <w:r w:rsidRPr="00C212AE">
              <w:rPr>
                <w:rFonts w:asciiTheme="minorHAnsi" w:hAnsiTheme="minorHAnsi" w:cs="Arial"/>
                <w:sz w:val="24"/>
                <w:szCs w:val="24"/>
                <w:lang w:val="en"/>
              </w:rPr>
              <w:t>April 2019 or;</w:t>
            </w:r>
          </w:p>
          <w:p w14:paraId="1A8C39CE" w14:textId="77777777" w:rsidR="00930AFA" w:rsidRPr="00C212AE" w:rsidRDefault="00930AFA" w:rsidP="00930AFA">
            <w:pPr>
              <w:pStyle w:val="NormalWeb"/>
              <w:numPr>
                <w:ilvl w:val="0"/>
                <w:numId w:val="2"/>
              </w:numPr>
              <w:spacing w:after="0"/>
              <w:rPr>
                <w:rFonts w:asciiTheme="minorHAnsi" w:hAnsiTheme="minorHAnsi" w:cs="Arial"/>
                <w:sz w:val="24"/>
                <w:szCs w:val="24"/>
                <w:lang w:val="en"/>
              </w:rPr>
            </w:pPr>
            <w:r w:rsidRPr="00C212AE">
              <w:rPr>
                <w:rFonts w:asciiTheme="minorHAnsi" w:hAnsiTheme="minorHAnsi" w:cs="Arial"/>
                <w:sz w:val="24"/>
                <w:szCs w:val="24"/>
                <w:lang w:val="en"/>
              </w:rPr>
              <w:t>Average of January and February 2020</w:t>
            </w:r>
          </w:p>
        </w:tc>
      </w:tr>
      <w:tr w:rsidR="00930AFA" w:rsidRPr="00C212AE" w14:paraId="703A5059" w14:textId="77777777" w:rsidTr="00827531">
        <w:tc>
          <w:tcPr>
            <w:tcW w:w="1098" w:type="dxa"/>
          </w:tcPr>
          <w:p w14:paraId="57BDCE9C" w14:textId="77777777" w:rsidR="00930AFA" w:rsidRPr="00C212AE" w:rsidRDefault="00930AFA" w:rsidP="00827531">
            <w:pPr>
              <w:pStyle w:val="NormalWeb"/>
              <w:spacing w:after="0"/>
              <w:rPr>
                <w:rFonts w:asciiTheme="minorHAnsi" w:hAnsiTheme="minorHAnsi" w:cs="Arial"/>
                <w:b/>
                <w:sz w:val="24"/>
                <w:szCs w:val="24"/>
                <w:lang w:val="en"/>
              </w:rPr>
            </w:pPr>
            <w:r w:rsidRPr="00C212AE">
              <w:rPr>
                <w:rFonts w:asciiTheme="minorHAnsi" w:hAnsiTheme="minorHAnsi" w:cs="Arial"/>
                <w:b/>
                <w:sz w:val="24"/>
                <w:szCs w:val="24"/>
                <w:lang w:val="en"/>
              </w:rPr>
              <w:t>Period 3</w:t>
            </w:r>
          </w:p>
        </w:tc>
        <w:tc>
          <w:tcPr>
            <w:tcW w:w="2070" w:type="dxa"/>
          </w:tcPr>
          <w:p w14:paraId="27AC2D49" w14:textId="77777777" w:rsidR="00930AFA" w:rsidRPr="00C212AE" w:rsidRDefault="00930AFA" w:rsidP="00827531">
            <w:pPr>
              <w:pStyle w:val="NormalWeb"/>
              <w:spacing w:after="0"/>
              <w:rPr>
                <w:rFonts w:asciiTheme="minorHAnsi" w:hAnsiTheme="minorHAnsi" w:cs="Arial"/>
                <w:sz w:val="24"/>
                <w:szCs w:val="24"/>
                <w:lang w:val="en"/>
              </w:rPr>
            </w:pPr>
            <w:r w:rsidRPr="00C212AE">
              <w:rPr>
                <w:rFonts w:asciiTheme="minorHAnsi" w:hAnsiTheme="minorHAnsi" w:cs="Arial"/>
                <w:sz w:val="24"/>
                <w:szCs w:val="24"/>
                <w:lang w:val="en"/>
              </w:rPr>
              <w:t>May. 10 – June. 6</w:t>
            </w:r>
          </w:p>
        </w:tc>
        <w:tc>
          <w:tcPr>
            <w:tcW w:w="3330" w:type="dxa"/>
          </w:tcPr>
          <w:p w14:paraId="1352119B" w14:textId="77777777" w:rsidR="00930AFA" w:rsidRPr="00C212AE" w:rsidRDefault="00930AFA" w:rsidP="00827531">
            <w:pPr>
              <w:pStyle w:val="NormalWeb"/>
              <w:spacing w:after="0"/>
              <w:jc w:val="center"/>
              <w:rPr>
                <w:rFonts w:asciiTheme="minorHAnsi" w:hAnsiTheme="minorHAnsi" w:cs="Arial"/>
                <w:sz w:val="24"/>
                <w:szCs w:val="24"/>
                <w:lang w:val="en"/>
              </w:rPr>
            </w:pPr>
            <w:r w:rsidRPr="00C212AE">
              <w:rPr>
                <w:rFonts w:asciiTheme="minorHAnsi" w:hAnsiTheme="minorHAnsi" w:cs="Arial"/>
                <w:sz w:val="24"/>
                <w:szCs w:val="24"/>
                <w:lang w:val="en"/>
              </w:rPr>
              <w:t>30%</w:t>
            </w:r>
          </w:p>
        </w:tc>
        <w:tc>
          <w:tcPr>
            <w:tcW w:w="3078" w:type="dxa"/>
          </w:tcPr>
          <w:p w14:paraId="4E7A10BE" w14:textId="77777777" w:rsidR="00930AFA" w:rsidRPr="00C212AE" w:rsidRDefault="00930AFA" w:rsidP="00827531">
            <w:pPr>
              <w:pStyle w:val="NormalWeb"/>
              <w:spacing w:after="0"/>
              <w:rPr>
                <w:rFonts w:asciiTheme="minorHAnsi" w:hAnsiTheme="minorHAnsi" w:cs="Arial"/>
                <w:b/>
                <w:sz w:val="24"/>
                <w:szCs w:val="24"/>
                <w:lang w:val="en"/>
              </w:rPr>
            </w:pPr>
            <w:r w:rsidRPr="00C212AE">
              <w:rPr>
                <w:rFonts w:asciiTheme="minorHAnsi" w:hAnsiTheme="minorHAnsi" w:cs="Arial"/>
                <w:sz w:val="24"/>
                <w:szCs w:val="24"/>
                <w:lang w:val="en"/>
              </w:rPr>
              <w:t xml:space="preserve">Eligible for Period 2 </w:t>
            </w:r>
            <w:r w:rsidRPr="00C212AE">
              <w:rPr>
                <w:rFonts w:asciiTheme="minorHAnsi" w:hAnsiTheme="minorHAnsi" w:cs="Arial"/>
                <w:b/>
                <w:sz w:val="24"/>
                <w:szCs w:val="24"/>
                <w:lang w:val="en"/>
              </w:rPr>
              <w:t>OR</w:t>
            </w:r>
          </w:p>
          <w:p w14:paraId="3BE13406" w14:textId="77777777" w:rsidR="00930AFA" w:rsidRPr="00C212AE" w:rsidRDefault="00930AFA" w:rsidP="00827531">
            <w:pPr>
              <w:pStyle w:val="NormalWeb"/>
              <w:spacing w:after="0"/>
              <w:rPr>
                <w:rFonts w:asciiTheme="minorHAnsi" w:hAnsiTheme="minorHAnsi" w:cs="Arial"/>
                <w:sz w:val="24"/>
                <w:szCs w:val="24"/>
                <w:lang w:val="en"/>
              </w:rPr>
            </w:pPr>
            <w:r w:rsidRPr="00C212AE">
              <w:rPr>
                <w:rFonts w:asciiTheme="minorHAnsi" w:hAnsiTheme="minorHAnsi" w:cs="Arial"/>
                <w:sz w:val="24"/>
                <w:szCs w:val="24"/>
                <w:lang w:val="en"/>
              </w:rPr>
              <w:t>May 2020 over:</w:t>
            </w:r>
          </w:p>
          <w:p w14:paraId="49958C57" w14:textId="77777777" w:rsidR="00930AFA" w:rsidRPr="00C212AE" w:rsidRDefault="00930AFA" w:rsidP="00930AFA">
            <w:pPr>
              <w:pStyle w:val="NormalWeb"/>
              <w:numPr>
                <w:ilvl w:val="0"/>
                <w:numId w:val="2"/>
              </w:numPr>
              <w:spacing w:after="0"/>
              <w:rPr>
                <w:rFonts w:asciiTheme="minorHAnsi" w:hAnsiTheme="minorHAnsi" w:cs="Arial"/>
                <w:sz w:val="24"/>
                <w:szCs w:val="24"/>
                <w:lang w:val="en"/>
              </w:rPr>
            </w:pPr>
            <w:r w:rsidRPr="00C212AE">
              <w:rPr>
                <w:rFonts w:asciiTheme="minorHAnsi" w:hAnsiTheme="minorHAnsi" w:cs="Arial"/>
                <w:sz w:val="24"/>
                <w:szCs w:val="24"/>
                <w:lang w:val="en"/>
              </w:rPr>
              <w:t>May 2019 or;</w:t>
            </w:r>
          </w:p>
          <w:p w14:paraId="0935CE5C" w14:textId="77777777" w:rsidR="00930AFA" w:rsidRPr="00C212AE" w:rsidRDefault="00930AFA" w:rsidP="00930AFA">
            <w:pPr>
              <w:pStyle w:val="NormalWeb"/>
              <w:numPr>
                <w:ilvl w:val="0"/>
                <w:numId w:val="2"/>
              </w:numPr>
              <w:spacing w:after="0"/>
              <w:rPr>
                <w:rFonts w:asciiTheme="minorHAnsi" w:hAnsiTheme="minorHAnsi" w:cs="Arial"/>
                <w:sz w:val="24"/>
                <w:szCs w:val="24"/>
                <w:lang w:val="en"/>
              </w:rPr>
            </w:pPr>
            <w:r w:rsidRPr="00C212AE">
              <w:rPr>
                <w:rFonts w:asciiTheme="minorHAnsi" w:hAnsiTheme="minorHAnsi" w:cs="Arial"/>
                <w:sz w:val="24"/>
                <w:szCs w:val="24"/>
                <w:lang w:val="en"/>
              </w:rPr>
              <w:t>Average of January and February 2020</w:t>
            </w:r>
          </w:p>
        </w:tc>
      </w:tr>
    </w:tbl>
    <w:p w14:paraId="3513612E" w14:textId="77777777" w:rsidR="00930AFA" w:rsidRPr="00C212AE" w:rsidRDefault="00930AFA" w:rsidP="00930AFA">
      <w:pPr>
        <w:rPr>
          <w:rFonts w:asciiTheme="minorHAnsi" w:hAnsiTheme="minorHAnsi" w:cs="Arial"/>
          <w:b/>
          <w:lang w:val="en"/>
        </w:rPr>
      </w:pPr>
    </w:p>
    <w:p w14:paraId="4383E333" w14:textId="77777777" w:rsidR="00930AFA" w:rsidRPr="00C212AE" w:rsidRDefault="00930AFA" w:rsidP="00930AFA">
      <w:pPr>
        <w:rPr>
          <w:rFonts w:asciiTheme="minorHAnsi" w:hAnsiTheme="minorHAnsi" w:cs="Arial"/>
          <w:b/>
          <w:lang w:val="en"/>
        </w:rPr>
      </w:pPr>
      <w:r w:rsidRPr="00C212AE">
        <w:rPr>
          <w:rFonts w:asciiTheme="minorHAnsi" w:hAnsiTheme="minorHAnsi" w:cs="Arial"/>
          <w:b/>
          <w:lang w:val="en"/>
        </w:rPr>
        <w:t xml:space="preserve">Calculating Revenues: </w:t>
      </w:r>
    </w:p>
    <w:p w14:paraId="35AFEBED" w14:textId="77777777" w:rsidR="00930AFA" w:rsidRPr="00C212AE" w:rsidRDefault="00930AFA" w:rsidP="00930AFA">
      <w:pPr>
        <w:rPr>
          <w:rFonts w:asciiTheme="minorHAnsi" w:eastAsia="Times New Roman" w:hAnsiTheme="minorHAnsi" w:cs="Arial"/>
          <w:lang w:val="en"/>
        </w:rPr>
      </w:pPr>
    </w:p>
    <w:p w14:paraId="38FAB91E" w14:textId="77777777" w:rsidR="00930AFA" w:rsidRPr="00C212AE" w:rsidRDefault="00930AFA" w:rsidP="00930AFA">
      <w:pPr>
        <w:rPr>
          <w:rFonts w:asciiTheme="minorHAnsi" w:eastAsia="Times New Roman" w:hAnsiTheme="minorHAnsi" w:cs="Arial"/>
          <w:lang w:val="en"/>
        </w:rPr>
      </w:pPr>
      <w:r w:rsidRPr="00C212AE">
        <w:rPr>
          <w:rFonts w:asciiTheme="minorHAnsi" w:eastAsia="Times New Roman" w:hAnsiTheme="minorHAnsi" w:cs="Arial"/>
          <w:lang w:val="en"/>
        </w:rPr>
        <w:t xml:space="preserve">An employer's revenue for this purpose is its revenue in Canada earned from arm's-length sources. This refers to business deals in which buyers and sellers act independently of each other, without one party influencing the other. </w:t>
      </w:r>
    </w:p>
    <w:p w14:paraId="059C7B75" w14:textId="77777777" w:rsidR="00930AFA" w:rsidRPr="00C212AE" w:rsidRDefault="00930AFA" w:rsidP="00930AFA">
      <w:pPr>
        <w:rPr>
          <w:rFonts w:asciiTheme="minorHAnsi" w:eastAsia="Times New Roman" w:hAnsiTheme="minorHAnsi" w:cs="Arial"/>
          <w:lang w:val="en"/>
        </w:rPr>
      </w:pPr>
    </w:p>
    <w:p w14:paraId="5F38FCE3" w14:textId="77777777" w:rsidR="00930AFA" w:rsidRPr="00C212AE" w:rsidRDefault="00930AFA" w:rsidP="00930AFA">
      <w:pPr>
        <w:rPr>
          <w:rFonts w:asciiTheme="minorHAnsi" w:eastAsia="Times New Roman" w:hAnsiTheme="minorHAnsi" w:cs="Arial"/>
          <w:lang w:val="en"/>
        </w:rPr>
      </w:pPr>
      <w:r w:rsidRPr="00C212AE">
        <w:rPr>
          <w:rFonts w:asciiTheme="minorHAnsi" w:eastAsia="Times New Roman" w:hAnsiTheme="minorHAnsi" w:cs="Arial"/>
          <w:lang w:val="en"/>
        </w:rPr>
        <w:t>Employers select an accounting method when first applying (either accrual method or cash method) for the CEWS and are required to use that method for the entire duration of the program.</w:t>
      </w:r>
    </w:p>
    <w:p w14:paraId="284A71F3" w14:textId="77777777" w:rsidR="00930AFA" w:rsidRPr="00C212AE" w:rsidRDefault="00930AFA" w:rsidP="00930AFA">
      <w:pPr>
        <w:rPr>
          <w:rFonts w:asciiTheme="minorHAnsi" w:eastAsia="Times New Roman" w:hAnsiTheme="minorHAnsi" w:cs="Arial"/>
          <w:lang w:val="en"/>
        </w:rPr>
      </w:pPr>
    </w:p>
    <w:p w14:paraId="4B0236D1" w14:textId="77777777" w:rsidR="00930AFA" w:rsidRPr="00C212AE" w:rsidRDefault="00930AFA" w:rsidP="00930AFA">
      <w:pPr>
        <w:spacing w:after="173"/>
        <w:rPr>
          <w:rFonts w:asciiTheme="minorHAnsi" w:eastAsia="Times New Roman" w:hAnsiTheme="minorHAnsi" w:cs="Arial"/>
          <w:lang w:val="en"/>
        </w:rPr>
      </w:pPr>
      <w:r w:rsidRPr="00C212AE">
        <w:rPr>
          <w:rFonts w:asciiTheme="minorHAnsi" w:eastAsia="Times New Roman" w:hAnsiTheme="minorHAnsi" w:cs="Arial"/>
          <w:lang w:val="en"/>
        </w:rPr>
        <w:t xml:space="preserve">For registered charities and non-profit organizations, the calculation includes most forms of revenue, excluding revenues from non-arm's length persons. These organizations are allowed to choose whether or not to include revenue from government sources as part of the calculation. </w:t>
      </w:r>
    </w:p>
    <w:p w14:paraId="2EFDCAF7" w14:textId="77777777" w:rsidR="00930AFA" w:rsidRPr="00C212AE" w:rsidRDefault="00930AFA" w:rsidP="00930AFA">
      <w:pPr>
        <w:pStyle w:val="Heading3"/>
        <w:rPr>
          <w:rFonts w:asciiTheme="minorHAnsi" w:hAnsiTheme="minorHAnsi" w:cs="Arial"/>
          <w:color w:val="auto"/>
          <w:lang w:val="en"/>
        </w:rPr>
      </w:pPr>
      <w:r w:rsidRPr="00C212AE">
        <w:rPr>
          <w:rFonts w:asciiTheme="minorHAnsi" w:hAnsiTheme="minorHAnsi" w:cs="Arial"/>
          <w:color w:val="auto"/>
          <w:lang w:val="en"/>
        </w:rPr>
        <w:t>Refund for Certain Payroll Contributions:</w:t>
      </w:r>
    </w:p>
    <w:p w14:paraId="68495FB1" w14:textId="77777777" w:rsidR="00C975A2" w:rsidRPr="00C212AE" w:rsidRDefault="00C975A2" w:rsidP="00C975A2">
      <w:pPr>
        <w:rPr>
          <w:rFonts w:asciiTheme="minorHAnsi" w:hAnsiTheme="minorHAnsi"/>
          <w:lang w:val="en"/>
        </w:rPr>
      </w:pPr>
    </w:p>
    <w:p w14:paraId="596033CE" w14:textId="77777777" w:rsidR="00930AFA" w:rsidRPr="00C212AE" w:rsidRDefault="00930AFA" w:rsidP="00930AFA">
      <w:pPr>
        <w:pStyle w:val="ListParagraph"/>
        <w:numPr>
          <w:ilvl w:val="0"/>
          <w:numId w:val="3"/>
        </w:numPr>
        <w:rPr>
          <w:rFonts w:asciiTheme="minorHAnsi" w:eastAsia="Calibri" w:hAnsiTheme="minorHAnsi" w:cs="Calibri"/>
        </w:rPr>
      </w:pPr>
      <w:r w:rsidRPr="00C212AE">
        <w:rPr>
          <w:rFonts w:asciiTheme="minorHAnsi" w:eastAsia="Calibri" w:hAnsiTheme="minorHAnsi" w:cs="Calibri"/>
        </w:rPr>
        <w:t>Businesses will be able to receive a 100% refund of some employer-paid contributions to Employment Insurance, Canada Pension Plan, Quebec Pension Plan, and Quebec Parental Insurance Plan</w:t>
      </w:r>
      <w:r w:rsidRPr="00C212AE">
        <w:rPr>
          <w:rFonts w:asciiTheme="minorHAnsi" w:eastAsia="Calibri" w:hAnsiTheme="minorHAnsi" w:cs="Calibri"/>
          <w:color w:val="0070C0"/>
        </w:rPr>
        <w:t xml:space="preserve">.  </w:t>
      </w:r>
      <w:r w:rsidRPr="00C212AE">
        <w:rPr>
          <w:rFonts w:asciiTheme="minorHAnsi" w:eastAsia="Calibri" w:hAnsiTheme="minorHAnsi" w:cs="Calibri"/>
        </w:rPr>
        <w:t xml:space="preserve">This refund covers 100% of employer paid contributions for eligible employees for each week throughout which those employees are on leave with pay and for which the employer is eligible to claim for the CEWS for those employees.  </w:t>
      </w:r>
    </w:p>
    <w:p w14:paraId="5AB04A04" w14:textId="77777777" w:rsidR="00930AFA" w:rsidRPr="00C212AE" w:rsidRDefault="00930AFA" w:rsidP="00930AFA">
      <w:pPr>
        <w:pStyle w:val="ListParagraph"/>
        <w:numPr>
          <w:ilvl w:val="0"/>
          <w:numId w:val="3"/>
        </w:numPr>
        <w:rPr>
          <w:rStyle w:val="apple-converted-space"/>
          <w:rFonts w:asciiTheme="minorHAnsi" w:eastAsia="Calibri" w:hAnsiTheme="minorHAnsi" w:cs="Calibri"/>
        </w:rPr>
      </w:pPr>
      <w:r w:rsidRPr="00C212AE">
        <w:rPr>
          <w:rFonts w:asciiTheme="minorHAnsi" w:eastAsia="Times New Roman" w:hAnsiTheme="minorHAnsi"/>
          <w:shd w:val="clear" w:color="auto" w:fill="FFFFFF"/>
        </w:rPr>
        <w:t>This refund is not be available for eligible employees that are on leave with pay for only a portion of a week and it is not  subject to the weekly maximum benefit per employee of $847 that an eligible employer may claim in respect of the CEWS.</w:t>
      </w:r>
      <w:r w:rsidRPr="00C212AE">
        <w:rPr>
          <w:rStyle w:val="apple-converted-space"/>
          <w:rFonts w:asciiTheme="minorHAnsi" w:eastAsia="Times New Roman" w:hAnsiTheme="minorHAnsi"/>
          <w:shd w:val="clear" w:color="auto" w:fill="FFFFFF"/>
        </w:rPr>
        <w:t> </w:t>
      </w:r>
    </w:p>
    <w:p w14:paraId="38144FAC" w14:textId="77777777" w:rsidR="00930AFA" w:rsidRPr="00C212AE" w:rsidRDefault="00930AFA" w:rsidP="00930AFA">
      <w:pPr>
        <w:pStyle w:val="ListParagraph"/>
        <w:numPr>
          <w:ilvl w:val="0"/>
          <w:numId w:val="3"/>
        </w:numPr>
        <w:rPr>
          <w:rFonts w:asciiTheme="minorHAnsi" w:eastAsia="Calibri" w:hAnsiTheme="minorHAnsi" w:cs="Calibri"/>
        </w:rPr>
      </w:pPr>
      <w:r w:rsidRPr="00C212AE">
        <w:rPr>
          <w:rFonts w:asciiTheme="minorHAnsi" w:eastAsia="Calibri" w:hAnsiTheme="minorHAnsi" w:cs="Calibri"/>
          <w:highlight w:val="white"/>
        </w:rPr>
        <w:t>Employers are required to continue to collect and remit employer and employee contributions to each program as usual. Eligible employers apply for a refund, as described above, at the same time that they apply for the CEWS.</w:t>
      </w:r>
    </w:p>
    <w:p w14:paraId="7E41599D" w14:textId="77777777" w:rsidR="00930AFA" w:rsidRPr="00C212AE" w:rsidRDefault="00930AFA" w:rsidP="00930AFA">
      <w:pPr>
        <w:rPr>
          <w:rFonts w:asciiTheme="minorHAnsi" w:hAnsiTheme="minorHAnsi"/>
        </w:rPr>
      </w:pPr>
    </w:p>
    <w:p w14:paraId="2C17DDF6" w14:textId="3AE1D86D" w:rsidR="00930AFA" w:rsidRDefault="00930AFA" w:rsidP="00930AFA">
      <w:pPr>
        <w:pStyle w:val="NormalWeb"/>
        <w:rPr>
          <w:rFonts w:asciiTheme="minorHAnsi" w:hAnsiTheme="minorHAnsi"/>
        </w:rPr>
      </w:pPr>
      <w:r w:rsidRPr="00C212AE">
        <w:rPr>
          <w:rFonts w:asciiTheme="minorHAnsi" w:hAnsiTheme="minorHAnsi"/>
        </w:rPr>
        <w:t xml:space="preserve">To learn more about the program go to:  </w:t>
      </w:r>
      <w:hyperlink r:id="rId10" w:history="1">
        <w:r w:rsidR="00307B50" w:rsidRPr="00D67B8A">
          <w:rPr>
            <w:rStyle w:val="Hyperlink"/>
            <w:rFonts w:asciiTheme="minorHAnsi" w:hAnsiTheme="minorHAnsi"/>
          </w:rPr>
          <w:t>https://www.canada.ca/en/department-finance/economic-response-plan/wage-subsidy.html</w:t>
        </w:r>
      </w:hyperlink>
    </w:p>
    <w:p w14:paraId="2AAAFF02" w14:textId="77777777" w:rsidR="00930AFA" w:rsidRPr="00E10983" w:rsidRDefault="00930AFA" w:rsidP="00930AFA">
      <w:pPr>
        <w:pStyle w:val="Heading2"/>
        <w:rPr>
          <w:rFonts w:asciiTheme="minorHAnsi" w:hAnsiTheme="minorHAnsi"/>
          <w:color w:val="ED7D31" w:themeColor="accent2"/>
          <w:sz w:val="24"/>
          <w:szCs w:val="24"/>
        </w:rPr>
      </w:pPr>
      <w:r w:rsidRPr="00E10983">
        <w:rPr>
          <w:rFonts w:asciiTheme="minorHAnsi" w:hAnsiTheme="minorHAnsi"/>
          <w:color w:val="ED7D31" w:themeColor="accent2"/>
          <w:sz w:val="24"/>
          <w:szCs w:val="24"/>
        </w:rPr>
        <w:t xml:space="preserve">Access to Credit and Financing: </w:t>
      </w:r>
    </w:p>
    <w:p w14:paraId="5D00F191" w14:textId="77777777" w:rsidR="0087215C" w:rsidRPr="0087215C" w:rsidRDefault="0087215C" w:rsidP="0087215C"/>
    <w:p w14:paraId="4FFB389F" w14:textId="0C58B39A" w:rsidR="002B5EC4" w:rsidRPr="00C212AE" w:rsidRDefault="00930AFA" w:rsidP="002B5EC4">
      <w:pPr>
        <w:pStyle w:val="ListParagraph"/>
        <w:numPr>
          <w:ilvl w:val="0"/>
          <w:numId w:val="1"/>
        </w:numPr>
        <w:spacing w:after="160" w:line="259" w:lineRule="auto"/>
        <w:rPr>
          <w:rFonts w:asciiTheme="minorHAnsi" w:hAnsiTheme="minorHAnsi"/>
          <w:b/>
        </w:rPr>
      </w:pPr>
      <w:r w:rsidRPr="00C212AE">
        <w:rPr>
          <w:rFonts w:asciiTheme="minorHAnsi" w:hAnsiTheme="minorHAnsi"/>
          <w:b/>
        </w:rPr>
        <w:t>Canada Emergency Business Account (CEBA)</w:t>
      </w:r>
    </w:p>
    <w:p w14:paraId="6163393C" w14:textId="6757867C" w:rsidR="00930AFA" w:rsidRPr="00C212AE" w:rsidRDefault="00930AFA" w:rsidP="00930AFA">
      <w:pPr>
        <w:pStyle w:val="ListParagraph"/>
        <w:numPr>
          <w:ilvl w:val="1"/>
          <w:numId w:val="1"/>
        </w:numPr>
        <w:spacing w:after="160" w:line="259" w:lineRule="auto"/>
        <w:rPr>
          <w:rFonts w:asciiTheme="minorHAnsi" w:hAnsiTheme="minorHAnsi"/>
          <w:b/>
        </w:rPr>
      </w:pPr>
      <w:r w:rsidRPr="00C212AE">
        <w:rPr>
          <w:rFonts w:asciiTheme="minorHAnsi" w:hAnsiTheme="minorHAnsi"/>
        </w:rPr>
        <w:t xml:space="preserve">CEBA will provide interest-free loans of up to $40,000 to eligible small businesses. To qualify, small businesses will need to </w:t>
      </w:r>
      <w:r w:rsidR="002B5EC4" w:rsidRPr="00C212AE">
        <w:rPr>
          <w:rFonts w:asciiTheme="minorHAnsi" w:hAnsiTheme="minorHAnsi"/>
        </w:rPr>
        <w:t>demonstrate they paid between $2</w:t>
      </w:r>
      <w:r w:rsidRPr="00C212AE">
        <w:rPr>
          <w:rFonts w:asciiTheme="minorHAnsi" w:hAnsiTheme="minorHAnsi"/>
        </w:rPr>
        <w:t>0,000 to $1</w:t>
      </w:r>
      <w:r w:rsidR="002B5EC4" w:rsidRPr="00C212AE">
        <w:rPr>
          <w:rFonts w:asciiTheme="minorHAnsi" w:hAnsiTheme="minorHAnsi"/>
          <w:color w:val="4472C4" w:themeColor="accent5"/>
        </w:rPr>
        <w:t>.</w:t>
      </w:r>
      <w:r w:rsidR="002B5EC4" w:rsidRPr="00C212AE">
        <w:rPr>
          <w:rFonts w:asciiTheme="minorHAnsi" w:hAnsiTheme="minorHAnsi"/>
        </w:rPr>
        <w:t>5</w:t>
      </w:r>
      <w:r w:rsidRPr="00C212AE">
        <w:rPr>
          <w:rFonts w:asciiTheme="minorHAnsi" w:hAnsiTheme="minorHAnsi"/>
        </w:rPr>
        <w:t xml:space="preserve"> million in total payroll in 2019. Repaying the loan on or before December 31, 2022 will result in loan forgiveness of 25% (up to $10,000). The CEBA is now available through eligible financial institutions in cooperation with Export Development Canada.</w:t>
      </w:r>
    </w:p>
    <w:p w14:paraId="3697A178" w14:textId="77777777" w:rsidR="00930AFA" w:rsidRPr="00C212AE" w:rsidRDefault="00930AFA" w:rsidP="00930AFA">
      <w:pPr>
        <w:pStyle w:val="ListParagraph"/>
        <w:numPr>
          <w:ilvl w:val="0"/>
          <w:numId w:val="1"/>
        </w:numPr>
        <w:spacing w:after="160" w:line="259" w:lineRule="auto"/>
        <w:rPr>
          <w:rFonts w:asciiTheme="minorHAnsi" w:hAnsiTheme="minorHAnsi"/>
          <w:b/>
        </w:rPr>
      </w:pPr>
      <w:r w:rsidRPr="00C212AE">
        <w:rPr>
          <w:rFonts w:asciiTheme="minorHAnsi" w:hAnsiTheme="minorHAnsi"/>
          <w:b/>
        </w:rPr>
        <w:t>Loans and Support from the Business Development Bank of Canada (BDC)</w:t>
      </w:r>
    </w:p>
    <w:p w14:paraId="721A36EE" w14:textId="77777777" w:rsidR="00930AFA" w:rsidRPr="00C212AE" w:rsidRDefault="00930AFA" w:rsidP="00930AFA">
      <w:pPr>
        <w:pStyle w:val="ListParagraph"/>
        <w:numPr>
          <w:ilvl w:val="1"/>
          <w:numId w:val="1"/>
        </w:numPr>
        <w:spacing w:after="160" w:line="259" w:lineRule="auto"/>
        <w:rPr>
          <w:rFonts w:asciiTheme="minorHAnsi" w:hAnsiTheme="minorHAnsi"/>
          <w:b/>
        </w:rPr>
      </w:pPr>
      <w:r w:rsidRPr="00C212AE">
        <w:rPr>
          <w:rFonts w:asciiTheme="minorHAnsi" w:hAnsiTheme="minorHAnsi"/>
        </w:rPr>
        <w:t xml:space="preserve">Through the $10 billion Federal government </w:t>
      </w:r>
      <w:hyperlink r:id="rId11" w:history="1">
        <w:r w:rsidRPr="00A2181B">
          <w:rPr>
            <w:rStyle w:val="Hyperlink"/>
            <w:rFonts w:asciiTheme="minorHAnsi" w:hAnsiTheme="minorHAnsi"/>
            <w:color w:val="3B3838" w:themeColor="background2" w:themeShade="40"/>
          </w:rPr>
          <w:t>Business Credit Availability Program</w:t>
        </w:r>
      </w:hyperlink>
      <w:r w:rsidRPr="00C212AE">
        <w:rPr>
          <w:rFonts w:asciiTheme="minorHAnsi" w:hAnsiTheme="minorHAnsi"/>
        </w:rPr>
        <w:t>, BDC has made available working capital loans of up to $2 million, postponement of payments and reduced rates on new eligible loans. A new Co-Lending Program will bring BDC together with financial institutions to co-lend term loans to small and medium enterprises for their operational cash flow requirements. Eligible businesses may obtain incremental credit amounts up to $6.25 million under this new program</w:t>
      </w:r>
    </w:p>
    <w:p w14:paraId="72BA4D75" w14:textId="77777777" w:rsidR="00930AFA" w:rsidRPr="00C212AE" w:rsidRDefault="00930AFA" w:rsidP="00930AFA">
      <w:pPr>
        <w:pStyle w:val="ListParagraph"/>
        <w:numPr>
          <w:ilvl w:val="0"/>
          <w:numId w:val="1"/>
        </w:numPr>
        <w:spacing w:after="160" w:line="259" w:lineRule="auto"/>
        <w:rPr>
          <w:rFonts w:asciiTheme="minorHAnsi" w:hAnsiTheme="minorHAnsi"/>
          <w:b/>
        </w:rPr>
      </w:pPr>
      <w:r w:rsidRPr="00C212AE">
        <w:rPr>
          <w:rFonts w:asciiTheme="minorHAnsi" w:hAnsiTheme="minorHAnsi"/>
          <w:b/>
        </w:rPr>
        <w:t>Enhanced Financing through Export Development Canada (EDC)</w:t>
      </w:r>
    </w:p>
    <w:p w14:paraId="703A6B3A" w14:textId="77777777" w:rsidR="00930AFA" w:rsidRPr="00C212AE" w:rsidRDefault="00930AFA" w:rsidP="00930AFA">
      <w:pPr>
        <w:pStyle w:val="ListParagraph"/>
        <w:numPr>
          <w:ilvl w:val="1"/>
          <w:numId w:val="1"/>
        </w:numPr>
        <w:spacing w:after="160" w:line="259" w:lineRule="auto"/>
        <w:rPr>
          <w:rFonts w:asciiTheme="minorHAnsi" w:hAnsiTheme="minorHAnsi"/>
          <w:b/>
        </w:rPr>
      </w:pPr>
      <w:r w:rsidRPr="00C212AE">
        <w:rPr>
          <w:rFonts w:asciiTheme="minorHAnsi" w:hAnsiTheme="minorHAnsi"/>
        </w:rPr>
        <w:t xml:space="preserve">Through the $10 billion Federal government </w:t>
      </w:r>
      <w:hyperlink r:id="rId12" w:history="1">
        <w:r w:rsidRPr="00A2181B">
          <w:rPr>
            <w:rStyle w:val="Hyperlink"/>
            <w:rFonts w:asciiTheme="minorHAnsi" w:hAnsiTheme="minorHAnsi"/>
            <w:color w:val="3B3838" w:themeColor="background2" w:themeShade="40"/>
          </w:rPr>
          <w:t>Business Credit Availability Program</w:t>
        </w:r>
      </w:hyperlink>
      <w:r w:rsidRPr="00A2181B">
        <w:rPr>
          <w:rFonts w:asciiTheme="minorHAnsi" w:hAnsiTheme="minorHAnsi"/>
          <w:color w:val="3B3838" w:themeColor="background2" w:themeShade="40"/>
        </w:rPr>
        <w:t xml:space="preserve">, </w:t>
      </w:r>
      <w:r w:rsidRPr="00C212AE">
        <w:rPr>
          <w:rFonts w:asciiTheme="minorHAnsi" w:hAnsiTheme="minorHAnsi"/>
        </w:rPr>
        <w:t>EDC has enhanced financing and insurance programs to ensure that impacted exporters have access to the credit and support they need. EDC will guarantee new operating credit and cash flow term loans that financial institutions extend to small and medium enterprises, up to $6.25 million</w:t>
      </w:r>
    </w:p>
    <w:p w14:paraId="0C30754D" w14:textId="77777777" w:rsidR="00930AFA" w:rsidRPr="00C212AE" w:rsidRDefault="00930AFA" w:rsidP="00930AFA">
      <w:pPr>
        <w:pStyle w:val="ListParagraph"/>
        <w:numPr>
          <w:ilvl w:val="0"/>
          <w:numId w:val="1"/>
        </w:numPr>
        <w:spacing w:after="160" w:line="259" w:lineRule="auto"/>
        <w:rPr>
          <w:rFonts w:asciiTheme="minorHAnsi" w:hAnsiTheme="minorHAnsi"/>
          <w:b/>
        </w:rPr>
      </w:pPr>
      <w:r w:rsidRPr="00C212AE">
        <w:rPr>
          <w:rFonts w:asciiTheme="minorHAnsi" w:hAnsiTheme="minorHAnsi"/>
          <w:b/>
        </w:rPr>
        <w:t>Financing Products through Farm Credit Canada (FCC)</w:t>
      </w:r>
    </w:p>
    <w:p w14:paraId="3A10CDBC" w14:textId="77777777" w:rsidR="00930AFA" w:rsidRPr="00C212AE" w:rsidRDefault="00930AFA" w:rsidP="00930AFA">
      <w:pPr>
        <w:pStyle w:val="ListParagraph"/>
        <w:numPr>
          <w:ilvl w:val="1"/>
          <w:numId w:val="1"/>
        </w:numPr>
        <w:spacing w:after="160" w:line="259" w:lineRule="auto"/>
        <w:rPr>
          <w:rFonts w:asciiTheme="minorHAnsi" w:hAnsiTheme="minorHAnsi"/>
          <w:b/>
        </w:rPr>
      </w:pPr>
      <w:r w:rsidRPr="00C212AE">
        <w:rPr>
          <w:rFonts w:asciiTheme="minorHAnsi" w:hAnsiTheme="minorHAnsi"/>
        </w:rPr>
        <w:t xml:space="preserve">Through an additional $5 billion received from the Federal government, </w:t>
      </w:r>
      <w:hyperlink r:id="rId13" w:history="1">
        <w:r w:rsidRPr="00A2181B">
          <w:rPr>
            <w:rStyle w:val="Hyperlink"/>
            <w:rFonts w:asciiTheme="minorHAnsi" w:hAnsiTheme="minorHAnsi"/>
            <w:color w:val="3B3838" w:themeColor="background2" w:themeShade="40"/>
          </w:rPr>
          <w:t>FCC is offering</w:t>
        </w:r>
      </w:hyperlink>
      <w:r w:rsidRPr="00A2181B">
        <w:rPr>
          <w:rFonts w:asciiTheme="minorHAnsi" w:hAnsiTheme="minorHAnsi"/>
          <w:color w:val="3B3838" w:themeColor="background2" w:themeShade="40"/>
        </w:rPr>
        <w:t xml:space="preserve"> </w:t>
      </w:r>
      <w:r w:rsidRPr="00C212AE">
        <w:rPr>
          <w:rFonts w:asciiTheme="minorHAnsi" w:hAnsiTheme="minorHAnsi"/>
        </w:rPr>
        <w:t>loan payment deferrals and other financing products to the agriculture and food industry.</w:t>
      </w:r>
    </w:p>
    <w:p w14:paraId="31B17911" w14:textId="77777777" w:rsidR="00930AFA" w:rsidRPr="00C212AE" w:rsidRDefault="00930AFA" w:rsidP="00930AFA">
      <w:pPr>
        <w:pStyle w:val="ListParagraph"/>
        <w:numPr>
          <w:ilvl w:val="0"/>
          <w:numId w:val="1"/>
        </w:numPr>
        <w:spacing w:after="160" w:line="259" w:lineRule="auto"/>
        <w:rPr>
          <w:rFonts w:asciiTheme="minorHAnsi" w:hAnsiTheme="minorHAnsi"/>
          <w:b/>
        </w:rPr>
      </w:pPr>
      <w:r w:rsidRPr="00C212AE">
        <w:rPr>
          <w:rFonts w:asciiTheme="minorHAnsi" w:hAnsiTheme="minorHAnsi"/>
          <w:b/>
        </w:rPr>
        <w:t>Speak to your Financial Institution</w:t>
      </w:r>
    </w:p>
    <w:p w14:paraId="007E5DDE" w14:textId="77777777" w:rsidR="00930AFA" w:rsidRPr="00C212AE" w:rsidRDefault="00930AFA" w:rsidP="00930AFA">
      <w:pPr>
        <w:pStyle w:val="ListParagraph"/>
        <w:numPr>
          <w:ilvl w:val="1"/>
          <w:numId w:val="1"/>
        </w:numPr>
        <w:spacing w:after="160" w:line="259" w:lineRule="auto"/>
        <w:rPr>
          <w:rFonts w:asciiTheme="minorHAnsi" w:hAnsiTheme="minorHAnsi"/>
          <w:b/>
        </w:rPr>
      </w:pPr>
      <w:r w:rsidRPr="00C212AE">
        <w:rPr>
          <w:rFonts w:asciiTheme="minorHAnsi" w:hAnsiTheme="minorHAnsi"/>
        </w:rPr>
        <w:t>Canada’s largest financial institutions (BMO, CIBC, National Bank of Canada, RBC, Scotiabank, and TD Bank), as well as some credit unions are committed to working with small business banking customers on a case-by-case basis to provide flexible financing solutions. Small businesses operating in rural communities may also check with their local Community Futures office for emergency loans and business advice</w:t>
      </w:r>
    </w:p>
    <w:p w14:paraId="0AE3B537" w14:textId="77777777" w:rsidR="00930AFA" w:rsidRPr="00E10983" w:rsidRDefault="00930AFA" w:rsidP="00930AFA">
      <w:pPr>
        <w:pStyle w:val="Heading3"/>
        <w:rPr>
          <w:rFonts w:asciiTheme="minorHAnsi" w:hAnsiTheme="minorHAnsi"/>
          <w:color w:val="ED7D31" w:themeColor="accent2"/>
          <w:lang w:val="en"/>
        </w:rPr>
      </w:pPr>
      <w:r w:rsidRPr="00E10983">
        <w:rPr>
          <w:rFonts w:asciiTheme="minorHAnsi" w:hAnsiTheme="minorHAnsi"/>
          <w:color w:val="ED7D31" w:themeColor="accent2"/>
          <w:lang w:val="en"/>
        </w:rPr>
        <w:t>Deferral of Income taxes for Businesses</w:t>
      </w:r>
    </w:p>
    <w:p w14:paraId="5CABAEDC" w14:textId="77777777" w:rsidR="00930AFA" w:rsidRPr="00C212AE" w:rsidRDefault="00930AFA" w:rsidP="00930AFA">
      <w:pPr>
        <w:pStyle w:val="NormalWeb"/>
        <w:spacing w:after="0"/>
        <w:rPr>
          <w:rFonts w:asciiTheme="minorHAnsi" w:hAnsiTheme="minorHAnsi" w:cs="Arial"/>
          <w:lang w:val="en"/>
        </w:rPr>
      </w:pPr>
    </w:p>
    <w:p w14:paraId="416015E3" w14:textId="77777777" w:rsidR="00930AFA" w:rsidRPr="00C212AE" w:rsidRDefault="00930AFA" w:rsidP="00930AFA">
      <w:pPr>
        <w:pStyle w:val="NormalWeb"/>
        <w:spacing w:after="0"/>
        <w:rPr>
          <w:rFonts w:asciiTheme="minorHAnsi" w:hAnsiTheme="minorHAnsi" w:cs="Arial"/>
          <w:lang w:val="en"/>
        </w:rPr>
      </w:pPr>
      <w:r w:rsidRPr="00C212AE">
        <w:rPr>
          <w:rFonts w:asciiTheme="minorHAnsi" w:hAnsiTheme="minorHAnsi" w:cs="Arial"/>
          <w:lang w:val="en"/>
        </w:rPr>
        <w:t>Businesses are allowed to defer, until after August 31, 2020, the payment of any income tax amounts that become owing on or after March 18 and before September 2020. This relief would apply to tax balances due, as well as instalments, under Part I of the </w:t>
      </w:r>
      <w:r w:rsidRPr="00C212AE">
        <w:rPr>
          <w:rStyle w:val="Emphasis"/>
          <w:rFonts w:asciiTheme="minorHAnsi" w:hAnsiTheme="minorHAnsi" w:cs="Arial"/>
          <w:lang w:val="en"/>
        </w:rPr>
        <w:t>Income Tax Act</w:t>
      </w:r>
      <w:r w:rsidRPr="00C212AE">
        <w:rPr>
          <w:rFonts w:asciiTheme="minorHAnsi" w:hAnsiTheme="minorHAnsi" w:cs="Arial"/>
          <w:lang w:val="en"/>
        </w:rPr>
        <w:t xml:space="preserve">. </w:t>
      </w:r>
    </w:p>
    <w:p w14:paraId="1E346D19" w14:textId="77777777" w:rsidR="00930AFA" w:rsidRPr="00C212AE" w:rsidRDefault="00930AFA" w:rsidP="00930AFA">
      <w:pPr>
        <w:pStyle w:val="NormalWeb"/>
        <w:rPr>
          <w:rFonts w:asciiTheme="minorHAnsi" w:hAnsiTheme="minorHAnsi" w:cs="Arial"/>
          <w:lang w:val="en"/>
        </w:rPr>
      </w:pPr>
      <w:r w:rsidRPr="00C212AE">
        <w:rPr>
          <w:rFonts w:asciiTheme="minorHAnsi" w:hAnsiTheme="minorHAnsi" w:cs="Arial"/>
          <w:lang w:val="en"/>
        </w:rPr>
        <w:t>No interest or penalties will accumulate on these amounts during this period.</w:t>
      </w:r>
    </w:p>
    <w:p w14:paraId="5C4A246F" w14:textId="77777777" w:rsidR="00930AFA" w:rsidRPr="00E10983" w:rsidRDefault="00930AFA" w:rsidP="00930AFA">
      <w:pPr>
        <w:pStyle w:val="Heading3"/>
        <w:rPr>
          <w:rFonts w:asciiTheme="minorHAnsi" w:hAnsiTheme="minorHAnsi"/>
          <w:color w:val="ED7D31" w:themeColor="accent2"/>
          <w:lang w:val="en"/>
        </w:rPr>
      </w:pPr>
      <w:r w:rsidRPr="00E10983">
        <w:rPr>
          <w:rFonts w:asciiTheme="minorHAnsi" w:hAnsiTheme="minorHAnsi"/>
          <w:color w:val="ED7D31" w:themeColor="accent2"/>
          <w:lang w:val="en"/>
        </w:rPr>
        <w:t>Deferral of Sales Tax Remittance and Customs Duty Payments</w:t>
      </w:r>
    </w:p>
    <w:p w14:paraId="236493B0" w14:textId="77777777" w:rsidR="00930AFA" w:rsidRPr="00C212AE" w:rsidRDefault="00930AFA" w:rsidP="00930AFA">
      <w:pPr>
        <w:rPr>
          <w:rFonts w:asciiTheme="minorHAnsi" w:hAnsiTheme="minorHAnsi"/>
          <w:lang w:val="en"/>
        </w:rPr>
      </w:pPr>
    </w:p>
    <w:p w14:paraId="648286D9" w14:textId="77777777" w:rsidR="00930AFA" w:rsidRPr="00C212AE" w:rsidRDefault="00930AFA" w:rsidP="00930AFA">
      <w:pPr>
        <w:pStyle w:val="NormalWeb"/>
        <w:rPr>
          <w:rFonts w:asciiTheme="minorHAnsi" w:hAnsiTheme="minorHAnsi" w:cs="Arial"/>
          <w:lang w:val="en"/>
        </w:rPr>
      </w:pPr>
      <w:r w:rsidRPr="00C212AE">
        <w:rPr>
          <w:rFonts w:asciiTheme="minorHAnsi" w:hAnsiTheme="minorHAnsi" w:cs="Arial"/>
          <w:lang w:val="en"/>
        </w:rPr>
        <w:t xml:space="preserve">Businesses, including self-employed individuals, will be allowed to defer until June 30, 2020 payments of the Goods and Services Tax / Harmonized Sales Tax (GST/HST), as well as customs duties owing on their imports. </w:t>
      </w:r>
    </w:p>
    <w:p w14:paraId="7E7C30B5" w14:textId="77777777" w:rsidR="00930AFA" w:rsidRPr="00C212AE" w:rsidRDefault="00930AFA" w:rsidP="00930AFA">
      <w:pPr>
        <w:pStyle w:val="NormalWeb"/>
        <w:rPr>
          <w:rFonts w:asciiTheme="minorHAnsi" w:hAnsiTheme="minorHAnsi" w:cs="Arial"/>
          <w:lang w:val="en"/>
        </w:rPr>
      </w:pPr>
      <w:r w:rsidRPr="00C212AE">
        <w:rPr>
          <w:rFonts w:asciiTheme="minorHAnsi" w:hAnsiTheme="minorHAnsi" w:cs="Arial"/>
          <w:lang w:val="en"/>
        </w:rPr>
        <w:t xml:space="preserve">The deferral will apply to GST/HST remittances for the February, March and April 2020 reporting periods for monthly filers; the January 1, 2020 through March 31, 2020 reporting period for quarterly filers; and for annual filers, the amounts collected and owing for their previous fiscal year and instalments of GST/HST in respect of the filer’s current fiscal year. </w:t>
      </w:r>
    </w:p>
    <w:p w14:paraId="7D6595F2" w14:textId="77777777" w:rsidR="00930AFA" w:rsidRPr="00C212AE" w:rsidRDefault="00930AFA" w:rsidP="00930AFA">
      <w:pPr>
        <w:pStyle w:val="NormalWeb"/>
        <w:rPr>
          <w:rFonts w:asciiTheme="minorHAnsi" w:hAnsiTheme="minorHAnsi" w:cs="Arial"/>
          <w:lang w:val="en"/>
        </w:rPr>
      </w:pPr>
      <w:r w:rsidRPr="00C212AE">
        <w:rPr>
          <w:rFonts w:asciiTheme="minorHAnsi" w:hAnsiTheme="minorHAnsi" w:cs="Arial"/>
          <w:lang w:val="en"/>
        </w:rPr>
        <w:t xml:space="preserve">For GST and customs duty payments for imported goods, deferral will include amounts owing for March, April and May. </w:t>
      </w:r>
    </w:p>
    <w:p w14:paraId="6CA96C6F" w14:textId="61E8ED2E" w:rsidR="00930AFA" w:rsidRDefault="00930AFA" w:rsidP="00C975A2">
      <w:pPr>
        <w:pStyle w:val="NormalWeb"/>
        <w:rPr>
          <w:rFonts w:asciiTheme="minorHAnsi" w:hAnsiTheme="minorHAnsi" w:cs="Arial"/>
          <w:lang w:val="en"/>
        </w:rPr>
      </w:pPr>
      <w:r w:rsidRPr="00C212AE">
        <w:rPr>
          <w:rFonts w:asciiTheme="minorHAnsi" w:hAnsiTheme="minorHAnsi" w:cs="Arial"/>
          <w:lang w:val="en"/>
        </w:rPr>
        <w:t xml:space="preserve">These amounts were normally due to be submitted to the Canada Revenue Agency and the Canada Border Services Agency as early as the end of the month of March. </w:t>
      </w:r>
    </w:p>
    <w:p w14:paraId="009BB1BF" w14:textId="77777777" w:rsidR="00A35ACC" w:rsidRDefault="00A35ACC" w:rsidP="00A35ACC">
      <w:pPr>
        <w:pStyle w:val="NormalWeb"/>
        <w:rPr>
          <w:rFonts w:asciiTheme="minorHAnsi" w:hAnsiTheme="minorHAnsi"/>
          <w:color w:val="ED7D31" w:themeColor="accent2"/>
        </w:rPr>
      </w:pPr>
      <w:r w:rsidRPr="00307B50">
        <w:rPr>
          <w:rFonts w:asciiTheme="minorHAnsi" w:hAnsiTheme="minorHAnsi"/>
          <w:b/>
          <w:color w:val="ED7D31" w:themeColor="accent2"/>
        </w:rPr>
        <w:t>Canada Emergency Commercial Rent Assistance</w:t>
      </w:r>
      <w:r>
        <w:rPr>
          <w:rFonts w:asciiTheme="minorHAnsi" w:hAnsiTheme="minorHAnsi"/>
          <w:b/>
          <w:color w:val="ED7D31" w:themeColor="accent2"/>
        </w:rPr>
        <w:t xml:space="preserve"> – Coming Soon</w:t>
      </w:r>
      <w:r w:rsidRPr="00307B50">
        <w:rPr>
          <w:rFonts w:asciiTheme="minorHAnsi" w:hAnsiTheme="minorHAnsi"/>
          <w:b/>
          <w:color w:val="ED7D31" w:themeColor="accent2"/>
        </w:rPr>
        <w:t>:</w:t>
      </w:r>
    </w:p>
    <w:p w14:paraId="65EEEAC7" w14:textId="76A4A96C" w:rsidR="00CF5868" w:rsidRDefault="00CF5868" w:rsidP="00CF5868">
      <w:pPr>
        <w:pStyle w:val="default0"/>
        <w:rPr>
          <w:color w:val="auto"/>
        </w:rPr>
      </w:pPr>
      <w:r>
        <w:rPr>
          <w:color w:val="auto"/>
        </w:rPr>
        <w:t>Missing in the programs to support the small business community is relief for their commercial rent. The NDP has been calling for a</w:t>
      </w:r>
      <w:r>
        <w:rPr>
          <w:color w:val="auto"/>
          <w:shd w:val="clear" w:color="auto" w:fill="FFFFFF"/>
        </w:rPr>
        <w:t> commerci</w:t>
      </w:r>
      <w:r w:rsidR="008F05C4">
        <w:rPr>
          <w:color w:val="auto"/>
          <w:shd w:val="clear" w:color="auto" w:fill="FFFFFF"/>
        </w:rPr>
        <w:t>al rent abatement program and are</w:t>
      </w:r>
      <w:r>
        <w:rPr>
          <w:color w:val="auto"/>
          <w:shd w:val="clear" w:color="auto" w:fill="FFFFFF"/>
        </w:rPr>
        <w:t xml:space="preserve"> happy to report that o</w:t>
      </w:r>
      <w:r>
        <w:rPr>
          <w:color w:val="auto"/>
        </w:rPr>
        <w:t>n April 16, 2020, the Federal Government announced that they will introduce the Canada Emergency Commercial Rent Assistance program to support small businesses’ rent obligations for the months of April, May and June.  Details are expected shortly.</w:t>
      </w:r>
    </w:p>
    <w:p w14:paraId="1430C596" w14:textId="77777777" w:rsidR="00A35ACC" w:rsidRPr="00A35ACC" w:rsidRDefault="00A35ACC" w:rsidP="00A35ACC">
      <w:pPr>
        <w:pStyle w:val="Default"/>
      </w:pPr>
    </w:p>
    <w:p w14:paraId="2E43334F" w14:textId="51F5DF7C" w:rsidR="00A35ACC" w:rsidRDefault="00A56BE3" w:rsidP="00A35ACC">
      <w:pPr>
        <w:pStyle w:val="NormalWeb"/>
        <w:rPr>
          <w:rFonts w:asciiTheme="minorHAnsi" w:hAnsiTheme="minorHAnsi"/>
        </w:rPr>
      </w:pPr>
      <w:r>
        <w:rPr>
          <w:rFonts w:asciiTheme="minorHAnsi" w:hAnsiTheme="minorHAnsi"/>
        </w:rPr>
        <w:t>Please refer to the government</w:t>
      </w:r>
      <w:r w:rsidR="00A35ACC">
        <w:rPr>
          <w:rFonts w:asciiTheme="minorHAnsi" w:hAnsiTheme="minorHAnsi"/>
        </w:rPr>
        <w:t xml:space="preserve"> website for updates: </w:t>
      </w:r>
      <w:hyperlink r:id="rId14" w:anchor="businesses" w:history="1">
        <w:r w:rsidR="00A35ACC" w:rsidRPr="00D67B8A">
          <w:rPr>
            <w:rStyle w:val="Hyperlink"/>
            <w:rFonts w:asciiTheme="minorHAnsi" w:hAnsiTheme="minorHAnsi"/>
          </w:rPr>
          <w:t>https://www.canada.ca/en/department-finance/economic-response-plan.html#businesses</w:t>
        </w:r>
      </w:hyperlink>
      <w:r w:rsidR="00A35ACC">
        <w:rPr>
          <w:rFonts w:asciiTheme="minorHAnsi" w:hAnsiTheme="minorHAnsi"/>
        </w:rPr>
        <w:t xml:space="preserve"> </w:t>
      </w:r>
    </w:p>
    <w:p w14:paraId="3AB1CD5E" w14:textId="77777777" w:rsidR="00930AFA" w:rsidRPr="00C212AE" w:rsidRDefault="00930AFA" w:rsidP="00930AFA">
      <w:pPr>
        <w:pStyle w:val="NormalWeb"/>
        <w:rPr>
          <w:rFonts w:asciiTheme="minorHAnsi" w:hAnsiTheme="minorHAnsi" w:cs="Arial"/>
          <w:b/>
          <w:lang w:val="en"/>
        </w:rPr>
      </w:pPr>
      <w:r w:rsidRPr="00C212AE">
        <w:rPr>
          <w:rFonts w:asciiTheme="minorHAnsi" w:hAnsiTheme="minorHAnsi" w:cs="Arial"/>
          <w:b/>
          <w:lang w:val="en"/>
        </w:rPr>
        <w:t>Contact Information:</w:t>
      </w:r>
    </w:p>
    <w:p w14:paraId="5220707B" w14:textId="77777777" w:rsidR="00930AFA" w:rsidRPr="00C212AE" w:rsidRDefault="00930AFA" w:rsidP="00930AFA">
      <w:pPr>
        <w:pStyle w:val="NormalWeb"/>
        <w:rPr>
          <w:rFonts w:asciiTheme="minorHAnsi" w:hAnsiTheme="minorHAnsi" w:cs="Arial"/>
          <w:lang w:val="en"/>
        </w:rPr>
      </w:pPr>
      <w:r w:rsidRPr="00C212AE">
        <w:rPr>
          <w:rFonts w:asciiTheme="minorHAnsi" w:hAnsiTheme="minorHAnsi" w:cs="Arial"/>
          <w:lang w:val="en"/>
        </w:rPr>
        <w:t xml:space="preserve">If you are interested in exploring financing opportunities for your business through the BCAP, </w:t>
      </w:r>
      <w:r w:rsidRPr="00C212AE">
        <w:rPr>
          <w:rStyle w:val="Strong"/>
          <w:rFonts w:asciiTheme="minorHAnsi" w:hAnsiTheme="minorHAnsi" w:cs="Arial"/>
          <w:lang w:val="en"/>
        </w:rPr>
        <w:t>please contact your financial institution directly and it will contact BDC and EDC where appropriate</w:t>
      </w:r>
      <w:r w:rsidRPr="00C212AE">
        <w:rPr>
          <w:rFonts w:asciiTheme="minorHAnsi" w:hAnsiTheme="minorHAnsi" w:cs="Arial"/>
          <w:lang w:val="en"/>
        </w:rPr>
        <w:t>.  BDC and EDC can also be contacted at the phone numbers below.</w:t>
      </w:r>
    </w:p>
    <w:p w14:paraId="4187F6A6" w14:textId="77777777" w:rsidR="00930AFA" w:rsidRPr="00A2181B" w:rsidRDefault="0011453F" w:rsidP="00930AFA">
      <w:pPr>
        <w:pStyle w:val="NormalWeb"/>
        <w:spacing w:after="0"/>
        <w:rPr>
          <w:rFonts w:asciiTheme="minorHAnsi" w:hAnsiTheme="minorHAnsi" w:cs="Arial"/>
          <w:color w:val="3B3838" w:themeColor="background2" w:themeShade="40"/>
          <w:lang w:val="en"/>
        </w:rPr>
      </w:pPr>
      <w:hyperlink r:id="rId15" w:history="1">
        <w:r w:rsidR="00930AFA" w:rsidRPr="00A2181B">
          <w:rPr>
            <w:rStyle w:val="Hyperlink"/>
            <w:rFonts w:asciiTheme="minorHAnsi" w:eastAsiaTheme="majorEastAsia" w:hAnsiTheme="minorHAnsi" w:cs="Arial"/>
            <w:color w:val="3B3838" w:themeColor="background2" w:themeShade="40"/>
            <w:lang w:val="en"/>
          </w:rPr>
          <w:t>Business Development Bank of Canada</w:t>
        </w:r>
      </w:hyperlink>
    </w:p>
    <w:p w14:paraId="180E2196" w14:textId="77777777" w:rsidR="00930AFA" w:rsidRPr="00C212AE" w:rsidRDefault="00930AFA" w:rsidP="00930AFA">
      <w:pPr>
        <w:pStyle w:val="NormalWeb"/>
        <w:spacing w:after="0"/>
        <w:rPr>
          <w:rFonts w:asciiTheme="minorHAnsi" w:hAnsiTheme="minorHAnsi" w:cs="Arial"/>
          <w:lang w:val="en"/>
        </w:rPr>
      </w:pPr>
      <w:r w:rsidRPr="00C212AE">
        <w:rPr>
          <w:rFonts w:asciiTheme="minorHAnsi" w:hAnsiTheme="minorHAnsi" w:cs="Arial"/>
          <w:lang w:val="en"/>
        </w:rPr>
        <w:t>1-877-232-2269</w:t>
      </w:r>
    </w:p>
    <w:p w14:paraId="712B44D1" w14:textId="77777777" w:rsidR="00930AFA" w:rsidRPr="00A2181B" w:rsidRDefault="0011453F" w:rsidP="00930AFA">
      <w:pPr>
        <w:pStyle w:val="NormalWeb"/>
        <w:spacing w:after="0"/>
        <w:rPr>
          <w:rFonts w:asciiTheme="minorHAnsi" w:hAnsiTheme="minorHAnsi" w:cs="Arial"/>
          <w:color w:val="3B3838" w:themeColor="background2" w:themeShade="40"/>
          <w:lang w:val="en"/>
        </w:rPr>
      </w:pPr>
      <w:hyperlink r:id="rId16" w:history="1">
        <w:r w:rsidR="00930AFA" w:rsidRPr="00A2181B">
          <w:rPr>
            <w:rStyle w:val="Hyperlink"/>
            <w:rFonts w:asciiTheme="minorHAnsi" w:eastAsiaTheme="majorEastAsia" w:hAnsiTheme="minorHAnsi" w:cs="Arial"/>
            <w:color w:val="3B3838" w:themeColor="background2" w:themeShade="40"/>
            <w:lang w:val="en"/>
          </w:rPr>
          <w:t>Export Development Canada</w:t>
        </w:r>
      </w:hyperlink>
      <w:r w:rsidR="00930AFA" w:rsidRPr="00A2181B">
        <w:rPr>
          <w:rFonts w:asciiTheme="minorHAnsi" w:hAnsiTheme="minorHAnsi" w:cs="Arial"/>
          <w:color w:val="3B3838" w:themeColor="background2" w:themeShade="40"/>
          <w:lang w:val="en"/>
        </w:rPr>
        <w:t xml:space="preserve">  </w:t>
      </w:r>
    </w:p>
    <w:p w14:paraId="23FBF126" w14:textId="77777777" w:rsidR="00930AFA" w:rsidRPr="00C212AE" w:rsidRDefault="00930AFA" w:rsidP="00930AFA">
      <w:pPr>
        <w:pStyle w:val="NormalWeb"/>
        <w:spacing w:after="0"/>
        <w:rPr>
          <w:rFonts w:asciiTheme="minorHAnsi" w:hAnsiTheme="minorHAnsi" w:cs="Arial"/>
          <w:lang w:val="en"/>
        </w:rPr>
      </w:pPr>
      <w:r w:rsidRPr="00C212AE">
        <w:rPr>
          <w:rFonts w:asciiTheme="minorHAnsi" w:hAnsiTheme="minorHAnsi" w:cs="Arial"/>
          <w:lang w:val="en"/>
        </w:rPr>
        <w:t>1-800-229-0575</w:t>
      </w:r>
    </w:p>
    <w:p w14:paraId="135F15F3" w14:textId="77777777" w:rsidR="00C03821" w:rsidRPr="00C212AE" w:rsidRDefault="0011453F">
      <w:pPr>
        <w:rPr>
          <w:rFonts w:asciiTheme="minorHAnsi" w:hAnsiTheme="minorHAnsi"/>
        </w:rPr>
      </w:pPr>
    </w:p>
    <w:sectPr w:rsidR="00C03821" w:rsidRPr="00C212AE" w:rsidSect="001B2A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947F6"/>
    <w:multiLevelType w:val="multilevel"/>
    <w:tmpl w:val="B3DA4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8E24F6"/>
    <w:multiLevelType w:val="multilevel"/>
    <w:tmpl w:val="56E03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B53341"/>
    <w:multiLevelType w:val="multilevel"/>
    <w:tmpl w:val="171C1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7C77D0"/>
    <w:multiLevelType w:val="multilevel"/>
    <w:tmpl w:val="6E3ED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83113B"/>
    <w:multiLevelType w:val="hybridMultilevel"/>
    <w:tmpl w:val="BE66C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8323BC"/>
    <w:multiLevelType w:val="hybridMultilevel"/>
    <w:tmpl w:val="33E2F698"/>
    <w:lvl w:ilvl="0" w:tplc="75CCACDE">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D347C8"/>
    <w:multiLevelType w:val="hybridMultilevel"/>
    <w:tmpl w:val="2F16B6CA"/>
    <w:lvl w:ilvl="0" w:tplc="E918C8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717526"/>
    <w:multiLevelType w:val="hybridMultilevel"/>
    <w:tmpl w:val="A426CB5E"/>
    <w:lvl w:ilvl="0" w:tplc="10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E550B3F"/>
    <w:multiLevelType w:val="hybridMultilevel"/>
    <w:tmpl w:val="63646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2"/>
  </w:num>
  <w:num w:numId="5">
    <w:abstractNumId w:val="3"/>
  </w:num>
  <w:num w:numId="6">
    <w:abstractNumId w:val="1"/>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AFA"/>
    <w:rsid w:val="000904CF"/>
    <w:rsid w:val="0011453F"/>
    <w:rsid w:val="001509A5"/>
    <w:rsid w:val="001B2A9E"/>
    <w:rsid w:val="002B5EC4"/>
    <w:rsid w:val="00307B50"/>
    <w:rsid w:val="00460F8C"/>
    <w:rsid w:val="006F0D28"/>
    <w:rsid w:val="007D218C"/>
    <w:rsid w:val="0087215C"/>
    <w:rsid w:val="008F05C4"/>
    <w:rsid w:val="00902E81"/>
    <w:rsid w:val="00930AFA"/>
    <w:rsid w:val="00A2181B"/>
    <w:rsid w:val="00A35ACC"/>
    <w:rsid w:val="00A56BE3"/>
    <w:rsid w:val="00C212AE"/>
    <w:rsid w:val="00C975A2"/>
    <w:rsid w:val="00CF5868"/>
    <w:rsid w:val="00D61B89"/>
    <w:rsid w:val="00E10983"/>
    <w:rsid w:val="00E30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05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AFA"/>
    <w:rPr>
      <w:rFonts w:ascii="Times New Roman" w:hAnsi="Times New Roman" w:cs="Times New Roman"/>
    </w:rPr>
  </w:style>
  <w:style w:type="paragraph" w:styleId="Heading1">
    <w:name w:val="heading 1"/>
    <w:basedOn w:val="Normal"/>
    <w:next w:val="Normal"/>
    <w:link w:val="Heading1Char"/>
    <w:uiPriority w:val="9"/>
    <w:qFormat/>
    <w:rsid w:val="00930AF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30AF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930AFA"/>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AF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930AF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930AFA"/>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930AFA"/>
    <w:pPr>
      <w:ind w:left="720"/>
      <w:contextualSpacing/>
    </w:pPr>
  </w:style>
  <w:style w:type="paragraph" w:styleId="NormalWeb">
    <w:name w:val="Normal (Web)"/>
    <w:basedOn w:val="Normal"/>
    <w:uiPriority w:val="99"/>
    <w:unhideWhenUsed/>
    <w:rsid w:val="00930AFA"/>
    <w:pPr>
      <w:spacing w:after="173"/>
    </w:pPr>
    <w:rPr>
      <w:rFonts w:eastAsia="Times New Roman"/>
    </w:rPr>
  </w:style>
  <w:style w:type="character" w:styleId="Emphasis">
    <w:name w:val="Emphasis"/>
    <w:basedOn w:val="DefaultParagraphFont"/>
    <w:uiPriority w:val="20"/>
    <w:qFormat/>
    <w:rsid w:val="00930AFA"/>
    <w:rPr>
      <w:i/>
      <w:iCs/>
    </w:rPr>
  </w:style>
  <w:style w:type="character" w:styleId="Strong">
    <w:name w:val="Strong"/>
    <w:basedOn w:val="DefaultParagraphFont"/>
    <w:uiPriority w:val="22"/>
    <w:qFormat/>
    <w:rsid w:val="00930AFA"/>
    <w:rPr>
      <w:b/>
      <w:bCs/>
    </w:rPr>
  </w:style>
  <w:style w:type="character" w:styleId="Hyperlink">
    <w:name w:val="Hyperlink"/>
    <w:basedOn w:val="DefaultParagraphFont"/>
    <w:uiPriority w:val="99"/>
    <w:unhideWhenUsed/>
    <w:rsid w:val="00930AFA"/>
    <w:rPr>
      <w:strike w:val="0"/>
      <w:dstrike w:val="0"/>
      <w:color w:val="284162"/>
      <w:u w:val="single"/>
      <w:effect w:val="none"/>
      <w:shd w:val="clear" w:color="auto" w:fill="auto"/>
    </w:rPr>
  </w:style>
  <w:style w:type="table" w:styleId="TableGrid">
    <w:name w:val="Table Grid"/>
    <w:basedOn w:val="TableNormal"/>
    <w:uiPriority w:val="59"/>
    <w:rsid w:val="00930AF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30AFA"/>
  </w:style>
  <w:style w:type="paragraph" w:customStyle="1" w:styleId="Default">
    <w:name w:val="Default"/>
    <w:rsid w:val="00D61B89"/>
    <w:pPr>
      <w:autoSpaceDE w:val="0"/>
      <w:autoSpaceDN w:val="0"/>
      <w:adjustRightInd w:val="0"/>
    </w:pPr>
    <w:rPr>
      <w:rFonts w:ascii="Calibri" w:hAnsi="Calibri" w:cs="Calibri"/>
      <w:color w:val="000000"/>
    </w:rPr>
  </w:style>
  <w:style w:type="paragraph" w:customStyle="1" w:styleId="default0">
    <w:name w:val="default"/>
    <w:basedOn w:val="Normal"/>
    <w:rsid w:val="00CF5868"/>
    <w:rPr>
      <w:rFonts w:ascii="Calibri" w:hAnsi="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AFA"/>
    <w:rPr>
      <w:rFonts w:ascii="Times New Roman" w:hAnsi="Times New Roman" w:cs="Times New Roman"/>
    </w:rPr>
  </w:style>
  <w:style w:type="paragraph" w:styleId="Heading1">
    <w:name w:val="heading 1"/>
    <w:basedOn w:val="Normal"/>
    <w:next w:val="Normal"/>
    <w:link w:val="Heading1Char"/>
    <w:uiPriority w:val="9"/>
    <w:qFormat/>
    <w:rsid w:val="00930AF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30AF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930AFA"/>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AF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930AF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930AFA"/>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930AFA"/>
    <w:pPr>
      <w:ind w:left="720"/>
      <w:contextualSpacing/>
    </w:pPr>
  </w:style>
  <w:style w:type="paragraph" w:styleId="NormalWeb">
    <w:name w:val="Normal (Web)"/>
    <w:basedOn w:val="Normal"/>
    <w:uiPriority w:val="99"/>
    <w:unhideWhenUsed/>
    <w:rsid w:val="00930AFA"/>
    <w:pPr>
      <w:spacing w:after="173"/>
    </w:pPr>
    <w:rPr>
      <w:rFonts w:eastAsia="Times New Roman"/>
    </w:rPr>
  </w:style>
  <w:style w:type="character" w:styleId="Emphasis">
    <w:name w:val="Emphasis"/>
    <w:basedOn w:val="DefaultParagraphFont"/>
    <w:uiPriority w:val="20"/>
    <w:qFormat/>
    <w:rsid w:val="00930AFA"/>
    <w:rPr>
      <w:i/>
      <w:iCs/>
    </w:rPr>
  </w:style>
  <w:style w:type="character" w:styleId="Strong">
    <w:name w:val="Strong"/>
    <w:basedOn w:val="DefaultParagraphFont"/>
    <w:uiPriority w:val="22"/>
    <w:qFormat/>
    <w:rsid w:val="00930AFA"/>
    <w:rPr>
      <w:b/>
      <w:bCs/>
    </w:rPr>
  </w:style>
  <w:style w:type="character" w:styleId="Hyperlink">
    <w:name w:val="Hyperlink"/>
    <w:basedOn w:val="DefaultParagraphFont"/>
    <w:uiPriority w:val="99"/>
    <w:unhideWhenUsed/>
    <w:rsid w:val="00930AFA"/>
    <w:rPr>
      <w:strike w:val="0"/>
      <w:dstrike w:val="0"/>
      <w:color w:val="284162"/>
      <w:u w:val="single"/>
      <w:effect w:val="none"/>
      <w:shd w:val="clear" w:color="auto" w:fill="auto"/>
    </w:rPr>
  </w:style>
  <w:style w:type="table" w:styleId="TableGrid">
    <w:name w:val="Table Grid"/>
    <w:basedOn w:val="TableNormal"/>
    <w:uiPriority w:val="59"/>
    <w:rsid w:val="00930AF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30AFA"/>
  </w:style>
  <w:style w:type="paragraph" w:customStyle="1" w:styleId="Default">
    <w:name w:val="Default"/>
    <w:rsid w:val="00D61B89"/>
    <w:pPr>
      <w:autoSpaceDE w:val="0"/>
      <w:autoSpaceDN w:val="0"/>
      <w:adjustRightInd w:val="0"/>
    </w:pPr>
    <w:rPr>
      <w:rFonts w:ascii="Calibri" w:hAnsi="Calibri" w:cs="Calibri"/>
      <w:color w:val="000000"/>
    </w:rPr>
  </w:style>
  <w:style w:type="paragraph" w:customStyle="1" w:styleId="default0">
    <w:name w:val="default"/>
    <w:basedOn w:val="Normal"/>
    <w:rsid w:val="00CF5868"/>
    <w:rPr>
      <w:rFonts w:ascii="Calibri" w:hAnsi="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48857">
      <w:bodyDiv w:val="1"/>
      <w:marLeft w:val="0"/>
      <w:marRight w:val="0"/>
      <w:marTop w:val="0"/>
      <w:marBottom w:val="0"/>
      <w:divBdr>
        <w:top w:val="none" w:sz="0" w:space="0" w:color="auto"/>
        <w:left w:val="none" w:sz="0" w:space="0" w:color="auto"/>
        <w:bottom w:val="none" w:sz="0" w:space="0" w:color="auto"/>
        <w:right w:val="none" w:sz="0" w:space="0" w:color="auto"/>
      </w:divBdr>
    </w:div>
    <w:div w:id="9837058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department-finance/economic-response-plan/covid19-businesses.html" TargetMode="External"/><Relationship Id="rId13" Type="http://schemas.openxmlformats.org/officeDocument/2006/relationships/hyperlink" Target="https://www.fcc-fac.ca/en/covid-19/program-details.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canada.ca/en/revenue-agency/campaigns/covid-19-update/frequently-asked-questions-wage-subsidy-small-businesses.html" TargetMode="External"/><Relationship Id="rId12" Type="http://schemas.openxmlformats.org/officeDocument/2006/relationships/hyperlink" Target="https://www.canada.ca/en/department-finance/programs/financial-sector-policy/business-credit-availability-program.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BCAP@EDC.ca" TargetMode="External"/><Relationship Id="rId1" Type="http://schemas.openxmlformats.org/officeDocument/2006/relationships/numbering" Target="numbering.xml"/><Relationship Id="rId6" Type="http://schemas.openxmlformats.org/officeDocument/2006/relationships/hyperlink" Target="https://www.canada.ca/en/department-finance/economic-response-plan/covid19-businesses.html" TargetMode="External"/><Relationship Id="rId11" Type="http://schemas.openxmlformats.org/officeDocument/2006/relationships/hyperlink" Target="https://www.canada.ca/en/department-finance/programs/financial-sector-policy/business-credit-availability-program.html" TargetMode="External"/><Relationship Id="rId5" Type="http://schemas.openxmlformats.org/officeDocument/2006/relationships/webSettings" Target="webSettings.xml"/><Relationship Id="rId15" Type="http://schemas.openxmlformats.org/officeDocument/2006/relationships/hyperlink" Target="mailto:info@BDC.ca" TargetMode="External"/><Relationship Id="rId10" Type="http://schemas.openxmlformats.org/officeDocument/2006/relationships/hyperlink" Target="https://www.canada.ca/en/department-finance/economic-response-plan/wage-subsidy.html" TargetMode="External"/><Relationship Id="rId4" Type="http://schemas.openxmlformats.org/officeDocument/2006/relationships/settings" Target="settings.xml"/><Relationship Id="rId9" Type="http://schemas.openxmlformats.org/officeDocument/2006/relationships/hyperlink" Target="https://www.canada.ca/en/department-finance/economic-response-plan.html" TargetMode="External"/><Relationship Id="rId14" Type="http://schemas.openxmlformats.org/officeDocument/2006/relationships/hyperlink" Target="https://www.canada.ca/en/department-finance/economic-response-pl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1999</Words>
  <Characters>11399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House of Commons / Chambre des communes</Company>
  <LinksUpToDate>false</LinksUpToDate>
  <CharactersWithSpaces>13372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MacGregor, Alistair - Riding 1D</cp:lastModifiedBy>
  <cp:revision>2</cp:revision>
  <dcterms:created xsi:type="dcterms:W3CDTF">2020-04-22T22:27:00Z</dcterms:created>
  <dcterms:modified xsi:type="dcterms:W3CDTF">2020-04-22T22:27:00Z</dcterms:modified>
</cp:coreProperties>
</file>